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4" w:rsidRPr="00BD0D34" w:rsidRDefault="00BD0D34" w:rsidP="00BD0D34">
      <w:pPr>
        <w:ind w:firstLine="0"/>
        <w:jc w:val="center"/>
        <w:rPr>
          <w:b/>
          <w:sz w:val="32"/>
          <w:szCs w:val="32"/>
        </w:rPr>
      </w:pPr>
      <w:r w:rsidRPr="00BD0D34">
        <w:rPr>
          <w:b/>
          <w:sz w:val="32"/>
          <w:szCs w:val="32"/>
        </w:rPr>
        <w:t>КРИТЕРИИ ОТБОРА ДЛЯ СПЕЦНОМИНАЦИЙ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«Регион (город) с наиболее благоприятными условиями для  развития предпринимательства»: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Количественные показатели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т.ч. по отраслям.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Характеристика динамики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 </w:t>
      </w:r>
      <w:proofErr w:type="gramStart"/>
      <w:r>
        <w:t>за</w:t>
      </w:r>
      <w:proofErr w:type="gramEnd"/>
      <w:r>
        <w:t xml:space="preserve"> прошедшие 3 года.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Качественные характеристики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особенности, доля предприятий, использующих новейшие технологии, производящих наукоемкую продукцию, обладающих высоким инновационным потенциалом.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законодательной базы по обеспечению развития малого предпринимательства и экспортно-ориентированных предприятий региона (города).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Развитие инфраструктуры обеспечения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(города).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сферы поддержания и воспроизводства рабочей силы региона (города): система образования, подготовки и переподготовки кадров; система здравоохранения; спортивно-оздоровительная система, система культуры. 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«За вклад в сохранение и развитие народных художественных промыслов России»: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Сохранение художественных традиций и технологий производства изделий народных  художественных промыслов России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Преемственность передачи традиций художественного мастерства молодому поколению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Высокий художественный уровень изделий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 общем объеме продукции предприятия не  менее 50% изделий народных художественных промыслов </w:t>
      </w:r>
    </w:p>
    <w:p w:rsidR="00BD0D34" w:rsidRDefault="00BD0D34" w:rsidP="00BD0D34">
      <w:r>
        <w:t xml:space="preserve">  </w:t>
      </w:r>
    </w:p>
    <w:p w:rsidR="00BD0D34" w:rsidRDefault="00BD0D34" w:rsidP="00BD0D34">
      <w:r w:rsidRPr="00BD0D34">
        <w:rPr>
          <w:b/>
        </w:rPr>
        <w:t>«Успешный старт»: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Малые предприятия (МП) любых форм собственности, работающие при ВУЗах, институтах РАН и РАМН, технопарках, а также самостоятельно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В составе МП должно быть не менее 70% сотрудников не старше 33 лет на момент подачи заявки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Успешная коммерциализация научных и технологических идей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Стабильная работа на рынке не менее 2-х лет и не более 3-х лет </w:t>
      </w:r>
    </w:p>
    <w:p w:rsidR="00BD0D34" w:rsidRDefault="00BD0D34" w:rsidP="00BD0D34">
      <w:r>
        <w:t xml:space="preserve"> </w:t>
      </w:r>
    </w:p>
    <w:p w:rsidR="00BD0D34" w:rsidRDefault="00BD0D34" w:rsidP="00BD0D34">
      <w:r>
        <w:lastRenderedPageBreak/>
        <w:t xml:space="preserve"> </w:t>
      </w:r>
      <w:r w:rsidRPr="00BD0D34">
        <w:rPr>
          <w:b/>
        </w:rPr>
        <w:t>«Лучшая иностранная компания, работающая на российском рынке»: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Срок работы в России (не менее 5 лет)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Объем прямых иностранных инвестиций (не менее $100 </w:t>
      </w:r>
      <w:proofErr w:type="spellStart"/>
      <w:proofErr w:type="gramStart"/>
      <w:r>
        <w:t>млн</w:t>
      </w:r>
      <w:proofErr w:type="spellEnd"/>
      <w:proofErr w:type="gramEnd"/>
      <w:r>
        <w:t xml:space="preserve">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Количество занятых граждан РФ (не менее 200 чел)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Наличие программы корпоративной социальной ответственности (обязательно) 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Участие в других общероссийских и региональных конкурсах (желательно) </w:t>
      </w:r>
    </w:p>
    <w:p w:rsidR="00BD0D34" w:rsidRDefault="00BD0D34" w:rsidP="00BD0D34">
      <w:r>
        <w:t xml:space="preserve"> </w:t>
      </w:r>
    </w:p>
    <w:p w:rsidR="00BD0D34" w:rsidRDefault="00BD0D34" w:rsidP="00BD0D34">
      <w:proofErr w:type="gramStart"/>
      <w:r w:rsidRPr="00BD0D34">
        <w:rPr>
          <w:b/>
        </w:rPr>
        <w:t>«Устремленные в будущее»:</w:t>
      </w:r>
      <w:r>
        <w:t xml:space="preserve"> компания, в работе которой участвует наибольшее количество представителей разных поколений семьи, официально трудоустроенных.  </w:t>
      </w:r>
      <w:proofErr w:type="gramEnd"/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«Семейный старт»:</w:t>
      </w:r>
      <w:r>
        <w:t xml:space="preserve"> семейная компания, основанная не менее двух и не более трех лет назад, продемонстрировавшая за это время впечатляющие успехи в своей отрасли.  </w:t>
      </w:r>
    </w:p>
    <w:p w:rsidR="00BD0D34" w:rsidRDefault="00BD0D34" w:rsidP="00BD0D34">
      <w:r>
        <w:t xml:space="preserve"> </w:t>
      </w:r>
    </w:p>
    <w:p w:rsidR="00BD0D34" w:rsidRPr="00BD0D34" w:rsidRDefault="00BD0D34" w:rsidP="00BD0D34">
      <w:pPr>
        <w:rPr>
          <w:b/>
        </w:rPr>
      </w:pPr>
      <w:r w:rsidRPr="00BD0D34">
        <w:rPr>
          <w:b/>
        </w:rPr>
        <w:t>«Лучшая банковская программа для МСП»</w:t>
      </w:r>
      <w:r w:rsidR="009A1502">
        <w:rPr>
          <w:b/>
        </w:rPr>
        <w:t>:</w:t>
      </w:r>
      <w:r w:rsidRPr="00BD0D34">
        <w:rPr>
          <w:b/>
        </w:rPr>
        <w:t xml:space="preserve"> </w:t>
      </w:r>
    </w:p>
    <w:p w:rsidR="00BD0D34" w:rsidRDefault="00BD0D34" w:rsidP="009A1502">
      <w:pPr>
        <w:ind w:firstLine="0"/>
      </w:pPr>
      <w:r>
        <w:t xml:space="preserve">Стоимость открытия расчетного счета </w:t>
      </w:r>
    </w:p>
    <w:p w:rsidR="00BD0D34" w:rsidRDefault="00BD0D34" w:rsidP="00BD0D34">
      <w:pPr>
        <w:ind w:firstLine="0"/>
      </w:pPr>
      <w:r>
        <w:t xml:space="preserve">Количество дней на открытие расчетного счета </w:t>
      </w:r>
    </w:p>
    <w:p w:rsidR="00BD0D34" w:rsidRDefault="00BD0D34" w:rsidP="00BD0D34">
      <w:pPr>
        <w:ind w:firstLine="0"/>
      </w:pPr>
      <w:r>
        <w:t xml:space="preserve">Количество документов на открытие расчетного счета и дополнительные обременения </w:t>
      </w:r>
    </w:p>
    <w:p w:rsidR="00BD0D34" w:rsidRDefault="00BD0D34" w:rsidP="00BD0D34">
      <w:pPr>
        <w:ind w:firstLine="0"/>
      </w:pPr>
      <w:r>
        <w:t xml:space="preserve">Стоимость использования собственных денежных средств, поступивших на счет, день в день </w:t>
      </w:r>
    </w:p>
    <w:p w:rsidR="009A1502" w:rsidRDefault="00BD0D34" w:rsidP="00BD0D34">
      <w:pPr>
        <w:ind w:firstLine="0"/>
      </w:pPr>
      <w:r>
        <w:t xml:space="preserve">Стоимость подключения и обслуживания (Интернет-банк) </w:t>
      </w:r>
    </w:p>
    <w:p w:rsidR="009A1502" w:rsidRDefault="00BD0D34" w:rsidP="009A1502">
      <w:pPr>
        <w:ind w:firstLine="0"/>
      </w:pPr>
      <w:r>
        <w:t xml:space="preserve">Стоимость обработки платежных документов (в бумажной форме) </w:t>
      </w:r>
    </w:p>
    <w:p w:rsidR="00BD0D34" w:rsidRDefault="00BD0D34" w:rsidP="009A1502">
      <w:pPr>
        <w:ind w:firstLine="0"/>
      </w:pPr>
      <w:r>
        <w:t>Стоимость перевода денежных средств на личную карту (в рамках  «</w:t>
      </w:r>
      <w:proofErr w:type="spellStart"/>
      <w:r>
        <w:t>зарплатного</w:t>
      </w:r>
      <w:proofErr w:type="spellEnd"/>
      <w:r>
        <w:t xml:space="preserve"> проекта») </w:t>
      </w:r>
    </w:p>
    <w:p w:rsidR="009A1502" w:rsidRDefault="00BD0D34" w:rsidP="009A1502">
      <w:pPr>
        <w:ind w:firstLine="0"/>
      </w:pPr>
      <w:r>
        <w:t xml:space="preserve">Стоимость снятия наличных денежных средств на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и хозяйственные нужды  </w:t>
      </w:r>
    </w:p>
    <w:p w:rsidR="009A1502" w:rsidRDefault="00BD0D34" w:rsidP="009A1502">
      <w:pPr>
        <w:ind w:firstLine="0"/>
      </w:pPr>
      <w:r>
        <w:t xml:space="preserve">Стоимость открытия расчетной (корпоративной) карты </w:t>
      </w:r>
    </w:p>
    <w:p w:rsidR="00BD0D34" w:rsidRDefault="00BD0D34" w:rsidP="009A1502">
      <w:pPr>
        <w:ind w:firstLine="0"/>
      </w:pPr>
      <w:r>
        <w:t xml:space="preserve">Стоимость </w:t>
      </w:r>
      <w:proofErr w:type="spellStart"/>
      <w:r>
        <w:t>эквайринга</w:t>
      </w:r>
      <w:proofErr w:type="spellEnd"/>
      <w:r>
        <w:t xml:space="preserve"> </w:t>
      </w:r>
    </w:p>
    <w:p w:rsidR="009A1502" w:rsidRDefault="00BD0D34" w:rsidP="009A1502">
      <w:pPr>
        <w:ind w:firstLine="0"/>
      </w:pPr>
      <w:r>
        <w:t xml:space="preserve">Стоимость инкассации </w:t>
      </w:r>
    </w:p>
    <w:p w:rsidR="009A1502" w:rsidRDefault="00BD0D34" w:rsidP="009A1502">
      <w:pPr>
        <w:ind w:firstLine="0"/>
      </w:pPr>
      <w:r>
        <w:t xml:space="preserve">Стоимость аренды </w:t>
      </w:r>
      <w:proofErr w:type="spellStart"/>
      <w:r>
        <w:t>он-лайн</w:t>
      </w:r>
      <w:proofErr w:type="spellEnd"/>
      <w:r>
        <w:t xml:space="preserve"> кассы (самый дешевый кассовый аппарат) </w:t>
      </w:r>
    </w:p>
    <w:p w:rsidR="009A1502" w:rsidRDefault="00BD0D34" w:rsidP="009A1502">
      <w:pPr>
        <w:ind w:firstLine="0"/>
      </w:pPr>
      <w:r>
        <w:t xml:space="preserve">Стоимость банковской гарантии для обеспечения контрактов в рамках федеральных законов 44-ФЗ и 223-ФЗ </w:t>
      </w:r>
    </w:p>
    <w:p w:rsidR="009A1502" w:rsidRDefault="00BD0D34" w:rsidP="009A1502">
      <w:pPr>
        <w:ind w:firstLine="0"/>
      </w:pPr>
      <w:r>
        <w:t xml:space="preserve">Наличие специального удобного и информативного раздела для МСП на главной странице сайта </w:t>
      </w:r>
    </w:p>
    <w:p w:rsidR="009A1502" w:rsidRDefault="00BD0D34" w:rsidP="009A1502">
      <w:pPr>
        <w:ind w:firstLine="0"/>
      </w:pPr>
      <w:r>
        <w:t>Обслуживание лиц с ограниченными возможностями (инвалидов</w:t>
      </w:r>
      <w:r w:rsidR="009A1502">
        <w:t xml:space="preserve"> </w:t>
      </w:r>
      <w:r>
        <w:t xml:space="preserve">предпринимателей)  (процентное соотношение числа офисов, оборудованных для людей с ограниченными </w:t>
      </w:r>
      <w:proofErr w:type="gramStart"/>
      <w:r>
        <w:t>возможностями, к</w:t>
      </w:r>
      <w:proofErr w:type="gramEnd"/>
      <w:r>
        <w:t xml:space="preserve"> общему числу офисов) </w:t>
      </w:r>
    </w:p>
    <w:p w:rsidR="009A1502" w:rsidRDefault="00BD0D34" w:rsidP="009A1502">
      <w:pPr>
        <w:ind w:firstLine="0"/>
      </w:pPr>
      <w:r>
        <w:t xml:space="preserve">Ставки кредитов на пополнение оборотных средств  </w:t>
      </w:r>
    </w:p>
    <w:p w:rsidR="000C20A3" w:rsidRDefault="00BD0D34" w:rsidP="009A1502">
      <w:pPr>
        <w:ind w:firstLine="0"/>
      </w:pPr>
      <w:r>
        <w:t xml:space="preserve">Продолжительность операционного дня (5 или 7 дней, 24/7) </w:t>
      </w:r>
    </w:p>
    <w:sectPr w:rsidR="000C20A3" w:rsidSect="000C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5BC"/>
    <w:multiLevelType w:val="hybridMultilevel"/>
    <w:tmpl w:val="9D7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071"/>
    <w:multiLevelType w:val="hybridMultilevel"/>
    <w:tmpl w:val="0018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4D22"/>
    <w:multiLevelType w:val="hybridMultilevel"/>
    <w:tmpl w:val="9E6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1293"/>
    <w:multiLevelType w:val="hybridMultilevel"/>
    <w:tmpl w:val="7C3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0D34"/>
    <w:rsid w:val="000C20A3"/>
    <w:rsid w:val="000E0C87"/>
    <w:rsid w:val="00144886"/>
    <w:rsid w:val="001A5D5A"/>
    <w:rsid w:val="002D3BA7"/>
    <w:rsid w:val="003635A8"/>
    <w:rsid w:val="004A382E"/>
    <w:rsid w:val="004D13A3"/>
    <w:rsid w:val="004F68C5"/>
    <w:rsid w:val="006F0736"/>
    <w:rsid w:val="00777242"/>
    <w:rsid w:val="007F4D36"/>
    <w:rsid w:val="0088739B"/>
    <w:rsid w:val="009A1502"/>
    <w:rsid w:val="00BD0D34"/>
    <w:rsid w:val="00C85240"/>
    <w:rsid w:val="00F31F87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36"/>
    <w:pPr>
      <w:suppressAutoHyphens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F0736"/>
    <w:pPr>
      <w:keepNext/>
      <w:suppressLineNumbers/>
      <w:tabs>
        <w:tab w:val="left" w:pos="3969"/>
      </w:tabs>
      <w:spacing w:before="360" w:after="120"/>
      <w:outlineLvl w:val="0"/>
    </w:pPr>
    <w:rPr>
      <w:b/>
      <w:kern w:val="28"/>
      <w:sz w:val="26"/>
    </w:rPr>
  </w:style>
  <w:style w:type="paragraph" w:styleId="2">
    <w:name w:val="heading 2"/>
    <w:basedOn w:val="a"/>
    <w:next w:val="a"/>
    <w:link w:val="20"/>
    <w:qFormat/>
    <w:rsid w:val="006F0736"/>
    <w:pPr>
      <w:keepNext/>
      <w:suppressLineNumbers/>
      <w:tabs>
        <w:tab w:val="left" w:pos="3686"/>
        <w:tab w:val="left" w:pos="3969"/>
      </w:tabs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6F0736"/>
    <w:pPr>
      <w:keepNext/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6F0736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6F0736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F0736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6F073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F073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F073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736"/>
    <w:rPr>
      <w:b/>
      <w:kern w:val="28"/>
      <w:sz w:val="26"/>
    </w:rPr>
  </w:style>
  <w:style w:type="character" w:customStyle="1" w:styleId="20">
    <w:name w:val="Заголовок 2 Знак"/>
    <w:basedOn w:val="a0"/>
    <w:link w:val="2"/>
    <w:rsid w:val="006F0736"/>
    <w:rPr>
      <w:sz w:val="28"/>
    </w:rPr>
  </w:style>
  <w:style w:type="character" w:customStyle="1" w:styleId="30">
    <w:name w:val="Заголовок 3 Знак"/>
    <w:basedOn w:val="a0"/>
    <w:link w:val="3"/>
    <w:rsid w:val="006F0736"/>
    <w:rPr>
      <w:sz w:val="28"/>
    </w:rPr>
  </w:style>
  <w:style w:type="character" w:customStyle="1" w:styleId="40">
    <w:name w:val="Заголовок 4 Знак"/>
    <w:basedOn w:val="a0"/>
    <w:link w:val="4"/>
    <w:rsid w:val="006F0736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6F0736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6F0736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6F0736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6F0736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6F0736"/>
    <w:rPr>
      <w:rFonts w:ascii="Arial" w:hAnsi="Arial"/>
      <w:i/>
      <w:sz w:val="18"/>
    </w:rPr>
  </w:style>
  <w:style w:type="paragraph" w:styleId="a3">
    <w:name w:val="caption"/>
    <w:basedOn w:val="a"/>
    <w:next w:val="a"/>
    <w:qFormat/>
    <w:rsid w:val="006F0736"/>
    <w:pPr>
      <w:spacing w:before="840" w:after="960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D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</dc:creator>
  <cp:lastModifiedBy>Курбатова</cp:lastModifiedBy>
  <cp:revision>1</cp:revision>
  <dcterms:created xsi:type="dcterms:W3CDTF">2019-12-25T10:12:00Z</dcterms:created>
  <dcterms:modified xsi:type="dcterms:W3CDTF">2019-12-25T10:25:00Z</dcterms:modified>
</cp:coreProperties>
</file>