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tblGrid>
      <w:tr>
        <w:tc>
          <w:tcPr>
            <w:tcW w:w="4241" w:type="dxa"/>
          </w:tcPr>
          <w:p>
            <w:pPr>
              <w:pStyle w:val="30"/>
              <w:shd w:val="clear" w:color="auto" w:fill="auto"/>
              <w:ind w:right="20" w:firstLine="709"/>
              <w:jc w:val="right"/>
              <w:rPr>
                <w:b w:val="0"/>
              </w:rPr>
            </w:pPr>
            <w:r>
              <w:rPr>
                <w:b w:val="0"/>
                <w:color w:val="808080" w:themeColor="background1" w:themeShade="80"/>
              </w:rPr>
              <w:t>ПРОЕКТ</w:t>
            </w:r>
          </w:p>
        </w:tc>
      </w:tr>
    </w:tbl>
    <w:p>
      <w:pPr>
        <w:pStyle w:val="30"/>
        <w:shd w:val="clear" w:color="auto" w:fill="auto"/>
        <w:ind w:right="20" w:firstLine="709"/>
      </w:pPr>
    </w:p>
    <w:p>
      <w:pPr>
        <w:pStyle w:val="30"/>
        <w:shd w:val="clear" w:color="auto" w:fill="auto"/>
        <w:ind w:right="20" w:firstLine="709"/>
      </w:pPr>
    </w:p>
    <w:p>
      <w:pPr>
        <w:pStyle w:val="30"/>
        <w:shd w:val="clear" w:color="auto" w:fill="auto"/>
        <w:ind w:right="20"/>
      </w:pPr>
      <w:r>
        <w:t>Доклад об итогах профилактической работы</w:t>
      </w:r>
      <w:r>
        <w:br/>
        <w:t>управления государственной архивной службы Новосибирской области</w:t>
      </w:r>
    </w:p>
    <w:p>
      <w:pPr>
        <w:pStyle w:val="30"/>
        <w:shd w:val="clear" w:color="auto" w:fill="auto"/>
        <w:spacing w:after="604"/>
        <w:ind w:right="20"/>
      </w:pPr>
      <w:r>
        <w:t>за 2021 год</w:t>
      </w:r>
    </w:p>
    <w:p>
      <w:pPr>
        <w:pStyle w:val="20"/>
        <w:shd w:val="clear" w:color="auto" w:fill="auto"/>
        <w:tabs>
          <w:tab w:val="left" w:pos="562"/>
        </w:tabs>
        <w:spacing w:before="0"/>
        <w:ind w:firstLine="709"/>
      </w:pPr>
      <w:r>
        <w:t>В соответствии со статьей 8.2 Федерального закона от 26.12.2008 №</w:t>
      </w:r>
      <w:r>
        <w:rPr>
          <w:rFonts w:eastAsiaTheme="minorHAnsi"/>
          <w:lang w:eastAsia="en-US"/>
        </w:rPr>
        <w:t> </w:t>
      </w:r>
      <w:r>
        <w:t>294-</w:t>
      </w:r>
      <w:r>
        <w:rPr>
          <w:rFonts w:eastAsiaTheme="minorHAnsi"/>
          <w:lang w:eastAsia="en-US"/>
        </w:rPr>
        <w:t> </w:t>
      </w:r>
      <w: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auto"/>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t>постановлением Правительства Новосибирской области от 11.07.2017 №260-п «О Порядке организации и осуществления регионального государственного контроля за соблюдением законодательства об архивном деле в Новосибирской области» и с учетом 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одобренных подкомиссией по совершенствованию контрольно-надзорных функций федеральных органов исполнительной власти при Правительственной комиссии по проведению административной реформы (пункт 3 раздел IV протокола заседания подкомиссии от 20.01.2017 № 1) (далее – Методические рекомендации), Стандарта комплексной профилактики рисков причинения вреда охраняемым законом ценностям, утвержденного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27.03.2018 № 2 (далее – Стандарт), управлением государственной архивной службы Новосибирской области (далее – управление, контрольный орган) в 2021 году проведена работа по профилактике нарушений обязательных требований законодательства Российской Федерации, законов и иных нормативных правовых актов Новосибирской области об архивном деле в Новосибирской области.</w:t>
      </w:r>
    </w:p>
    <w:p>
      <w:pPr>
        <w:pStyle w:val="20"/>
        <w:shd w:val="clear" w:color="auto" w:fill="auto"/>
        <w:spacing w:before="0"/>
        <w:ind w:firstLine="709"/>
      </w:pPr>
      <w:r>
        <w:t xml:space="preserve">В целях предупреждения нарушения юридическими лицами и индивидуальными предпринимателями обязательных требований, соблюдение которых оценивается управлением при проведении мероприятий по региональному государственному контролю за соблюдением законодательства об архивном деле, устранения причин, факторов и условий, способствующих нарушению таких обязательных требований, а также соблюдения требований вышеназванных нормативных правовых актов и положений Методических рекомендаций и Стандарта, издан приказ управления от 18.12.2020 № 127-од «Об утверждении Программы профилактики нарушений обязательных требований в сфере архивного дела, </w:t>
      </w:r>
      <w:r>
        <w:lastRenderedPageBreak/>
        <w:t>проверяемых управлением государственной архивной службы Новосибирской области при осуществлении регионального государственного контроля</w:t>
      </w:r>
      <w:r>
        <w:rPr>
          <w:rFonts w:eastAsiaTheme="minorHAnsi"/>
          <w:lang w:eastAsia="en-US"/>
        </w:rPr>
        <w:t xml:space="preserve">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w:t>
      </w:r>
      <w:r>
        <w:t>, на 2021 год и плановый период 2022 – 2023 годы».</w:t>
      </w:r>
    </w:p>
    <w:p>
      <w:pPr>
        <w:pStyle w:val="20"/>
        <w:shd w:val="clear" w:color="auto" w:fill="auto"/>
        <w:spacing w:before="0"/>
        <w:ind w:firstLine="709"/>
      </w:pPr>
      <w:r>
        <w:rPr>
          <w:rFonts w:eastAsiaTheme="minorHAnsi"/>
          <w:lang w:eastAsia="en-US"/>
        </w:rPr>
        <w:t>Приложением к Программе профилактики нарушений обязательных требований в сфере архивного дела, проверяемых управлением государственной архивной службы Новосибирской области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 на 2021 год и плановый период 2022 – 2023 годы (далее – Программа профилактики нарушений обязательных требований в сфере архивного дела на 2021 год) является План профилактических мероприятий, направленных на предупреждение нарушений подконтрольными субъектами обязательных требований в сфере архивного дела, на 2021 год</w:t>
      </w:r>
      <w:r>
        <w:t xml:space="preserve"> (далее – План-график на 2021 год).</w:t>
      </w:r>
    </w:p>
    <w:p>
      <w:pPr>
        <w:pStyle w:val="a9"/>
        <w:ind w:left="0" w:firstLine="709"/>
        <w:jc w:val="both"/>
      </w:pPr>
      <w:r>
        <w:t xml:space="preserve">Программа </w:t>
      </w:r>
      <w:r>
        <w:rPr>
          <w:rFonts w:eastAsiaTheme="minorHAnsi"/>
          <w:lang w:eastAsia="en-US"/>
        </w:rPr>
        <w:t>профилактики нарушений обязательных требований в сфере архивного дела на 2021 год</w:t>
      </w:r>
      <w:r>
        <w:t xml:space="preserve"> предусматривала комплекс мер по </w:t>
      </w:r>
      <w:r>
        <w:rPr>
          <w:rFonts w:eastAsia="Calibri"/>
          <w:lang w:eastAsia="en-US"/>
        </w:rPr>
        <w:t xml:space="preserve">предупреждению </w:t>
      </w:r>
      <w:r>
        <w:t xml:space="preserve">(снижению) </w:t>
      </w:r>
      <w:r>
        <w:rPr>
          <w:rFonts w:eastAsia="Calibri"/>
          <w:lang w:eastAsia="en-US"/>
        </w:rPr>
        <w:t xml:space="preserve">нарушений подконтрольными субъектами обязательных требований в сфере архивного дела, устранению причин, факторов и условий, способствующих нарушению обязательных требований в сфере архивного дела, повышению прозрачности деятельности контрольного органа при </w:t>
      </w:r>
      <w:r>
        <w:t>осуществлении регионального государственного контроля за соблюдением законодательства об архивном деле, с указанием конкретного перечня мероприятий, подлежащих реализации в 2021 году и плановом периоде 2022–2023 гг.</w:t>
      </w:r>
    </w:p>
    <w:p>
      <w:pPr>
        <w:pStyle w:val="20"/>
        <w:shd w:val="clear" w:color="auto" w:fill="auto"/>
        <w:spacing w:before="0"/>
        <w:ind w:firstLine="709"/>
      </w:pPr>
      <w:r>
        <w:rPr>
          <w:color w:val="auto"/>
        </w:rPr>
        <w:t xml:space="preserve">Анализ выполнения мероприятий </w:t>
      </w:r>
      <w:r>
        <w:rPr>
          <w:rFonts w:eastAsiaTheme="minorHAnsi"/>
          <w:lang w:eastAsia="en-US"/>
        </w:rPr>
        <w:t>Программа профилактики нарушений обязательных требований в сфере архивного дела на 2021 год</w:t>
      </w:r>
      <w:r>
        <w:t xml:space="preserve"> и Плана-графика на 2021 год показал следующее.</w:t>
      </w:r>
    </w:p>
    <w:p>
      <w:pPr>
        <w:pStyle w:val="20"/>
        <w:shd w:val="clear" w:color="auto" w:fill="auto"/>
        <w:spacing w:before="0"/>
        <w:ind w:firstLine="709"/>
        <w:rPr>
          <w:color w:val="auto"/>
        </w:rPr>
      </w:pPr>
      <w:r>
        <w:rPr>
          <w:color w:val="auto"/>
        </w:rPr>
        <w:t xml:space="preserve">Во исполнение Федерального закона от 31.07.2020 № 248-ФЗ «О государственном контроле (надзоре) и муниципальном контроле в Российской Федерации» управлением разработано Положение о региональном государственном контроле (надзоре) за соблюдением законодательства об архивном деле. Названный документ утвержден постановлением Правительства Новосибирской области от 20.09.2021 № 365- п «Об утверждении Положения о региональном государственном контроле (надзоре) за соблюдением законодательства об архивном деле» и размещен на официальном сайте управления в информационно-телекоммуникационной сети «Интернет» (http://www.archives.nso.ru) (далее – официальный сайт управления) в разделе «Деятельность/Контрольно-надзорная деятельность/Положение о виде регионального государственного контроля» (пункт 1 </w:t>
      </w:r>
      <w:r>
        <w:t>Плана-графика на 2021 год)</w:t>
      </w:r>
      <w:r>
        <w:rPr>
          <w:color w:val="auto"/>
        </w:rPr>
        <w:t>.</w:t>
      </w:r>
    </w:p>
    <w:p>
      <w:pPr>
        <w:pStyle w:val="20"/>
        <w:shd w:val="clear" w:color="auto" w:fill="auto"/>
        <w:spacing w:before="0"/>
        <w:ind w:firstLine="709"/>
        <w:rPr>
          <w:color w:val="auto"/>
        </w:rPr>
      </w:pPr>
      <w:r>
        <w:rPr>
          <w:color w:val="auto"/>
        </w:rPr>
        <w:t xml:space="preserve">Указанным нормативным правовым актом определены контрольный (надзорный) орган, наделенный полномочиями по осуществлению регионального государственного контроля (надзора) за соблюдением </w:t>
      </w:r>
      <w:r>
        <w:rPr>
          <w:color w:val="auto"/>
        </w:rPr>
        <w:lastRenderedPageBreak/>
        <w:t xml:space="preserve">законодательства об архивном деле на территории Новосибирской области, </w:t>
      </w:r>
      <w:r>
        <w:t>категории риска и критерии отнесения объектов контроля к категориям риска причинения вреда (ущерба)</w:t>
      </w:r>
      <w:r>
        <w:rPr>
          <w:color w:val="auto"/>
        </w:rPr>
        <w:t xml:space="preserve">, </w:t>
      </w:r>
      <w:bookmarkStart w:id="0" w:name="dst100094"/>
      <w:bookmarkEnd w:id="0"/>
      <w:r>
        <w:rPr>
          <w:color w:val="auto"/>
        </w:rPr>
        <w:t xml:space="preserve">перечень профилактических мероприятий, виды контрольных (надзорных) мероприятий, перечень допустимых контрольных (надзорных) действий и ряд других </w:t>
      </w:r>
      <w:bookmarkStart w:id="1" w:name="dst100096"/>
      <w:bookmarkEnd w:id="1"/>
      <w:r>
        <w:rPr>
          <w:color w:val="auto"/>
        </w:rPr>
        <w:t>вопросов.</w:t>
      </w:r>
    </w:p>
    <w:p>
      <w:pPr>
        <w:pStyle w:val="20"/>
        <w:shd w:val="clear" w:color="auto" w:fill="auto"/>
        <w:spacing w:before="0"/>
        <w:ind w:firstLine="709"/>
      </w:pPr>
      <w:r>
        <w:t>В соответствии с пунктом 8.1. раздела III Методических рекомендаций и пунктом 2 Плана-графика на 2021 год на официальном сайте управления в разделе «Деятельность/Контрольно-надзорная деятельность» создана специальная страница (подраздел) «Перечень обязательных требований», на которой размещены:</w:t>
      </w:r>
    </w:p>
    <w:p>
      <w:pPr>
        <w:pStyle w:val="20"/>
        <w:shd w:val="clear" w:color="auto" w:fill="auto"/>
        <w:spacing w:before="0"/>
        <w:ind w:firstLine="709"/>
      </w:pPr>
      <w:r>
        <w:t>– приказ управления от 05.06.2017 № 75-од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 и порядка его ведения»;</w:t>
      </w:r>
    </w:p>
    <w:p>
      <w:pPr>
        <w:pStyle w:val="20"/>
        <w:shd w:val="clear" w:color="auto" w:fill="auto"/>
        <w:spacing w:before="0"/>
        <w:ind w:firstLine="709"/>
      </w:pPr>
      <w:r>
        <w:t>– Перечень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 (далее – Перечень актов, содержащих обязательные требования);</w:t>
      </w:r>
    </w:p>
    <w:p>
      <w:pPr>
        <w:pStyle w:val="20"/>
        <w:shd w:val="clear" w:color="auto" w:fill="auto"/>
        <w:spacing w:before="0"/>
        <w:ind w:firstLine="709"/>
      </w:pPr>
      <w:r>
        <w:t>– Порядок ведения перечня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w:t>
      </w:r>
    </w:p>
    <w:p>
      <w:pPr>
        <w:pStyle w:val="20"/>
        <w:shd w:val="clear" w:color="auto" w:fill="auto"/>
        <w:spacing w:before="0"/>
        <w:ind w:firstLine="709"/>
      </w:pPr>
      <w:r>
        <w:t>На указанной странице реализован механизм обратной связи, позволяющий направить обращения, связанные с содержанием, ведением и применением Перечня актов, содержащих обязательные требования.</w:t>
      </w:r>
    </w:p>
    <w:p>
      <w:pPr>
        <w:pStyle w:val="20"/>
        <w:shd w:val="clear" w:color="auto" w:fill="auto"/>
        <w:spacing w:before="0"/>
        <w:ind w:firstLine="709"/>
      </w:pPr>
      <w:r>
        <w:t xml:space="preserve">Перечень актов, содержащих обязательные требования, размещен в формате, доступном для скачивания и пригодном для обработки в текстовых редакторах, а также в формате </w:t>
      </w:r>
      <w:r>
        <w:rPr>
          <w:lang w:val="en-US" w:eastAsia="en-US" w:bidi="en-US"/>
        </w:rPr>
        <w:t>html</w:t>
      </w:r>
      <w:r>
        <w:rPr>
          <w:lang w:eastAsia="en-US" w:bidi="en-US"/>
        </w:rPr>
        <w:t xml:space="preserve"> </w:t>
      </w:r>
      <w:r>
        <w:t>с активными гиперссылками. Открытие гиперссылки позволяет получить доступ к полному тексту соответствующего акта для просмотра в форматах, доступных для скачивания и пригодных для обработки в текстовых редакторах. Все нормативные правовые акты, включенные в Перечень актов, содержащих обязательные требования, размещены в актуальной редакции. При внесении изменений в указанные акты их содержание оперативно обновлялось.</w:t>
      </w:r>
    </w:p>
    <w:p>
      <w:pPr>
        <w:pStyle w:val="20"/>
        <w:shd w:val="clear" w:color="auto" w:fill="auto"/>
        <w:spacing w:before="0"/>
        <w:ind w:firstLine="709"/>
      </w:pPr>
      <w:r>
        <w:t xml:space="preserve">В целях реализации части 5 статьи 8 Федерального закона от 31.07.2020 № 247-ФЗ «Об обязательных требованиях в Российской Федерации», </w:t>
      </w:r>
      <w:hyperlink r:id="rId8" w:history="1">
        <w:r>
          <w:t>части 3 статьи 46</w:t>
        </w:r>
      </w:hyperlink>
      <w:r>
        <w:t xml:space="preserve"> Федерального закона от 31.07.2020 № 248-ФЗ «О государственном контроле (надзоре) и муниципальном контроле в Российской Федерации» и в соответствии с постановлением Правительства Российской Федерации </w:t>
      </w:r>
      <w:r>
        <w:lastRenderedPageBreak/>
        <w:t>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приказом Министерства экономического развития Российской Федерации от 30.11.2020 № 790 «Об утверждении формы для размещения перечней нормативных правовых актов (их отдельных положений), содержащих обязательные требования» разработан и утвержден приказом управления от 30.09.2021 № 122-од перечень нормативных правовых актов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за соблюдением законодательства об архивном деле. Указанный документ размещен на официальном сайте управления в разделе «Деятельность/Контрольно-надзорная деятельность/Перечень обязательных требований».</w:t>
      </w:r>
    </w:p>
    <w:p>
      <w:pPr>
        <w:pStyle w:val="20"/>
        <w:shd w:val="clear" w:color="auto" w:fill="auto"/>
        <w:spacing w:before="0"/>
        <w:ind w:firstLine="709"/>
        <w:rPr>
          <w:color w:val="auto"/>
        </w:rPr>
      </w:pPr>
      <w:r>
        <w:t>Во исполнение пункта 8.2.2. раздела III Методических рекомендаций и пункта 3 Плана-графика на 2021 год на официальном сайте управления в разделе «Деятельность/Контрольно-надзорная деятельность/</w:t>
      </w:r>
      <w:r>
        <w:rPr>
          <w:color w:val="auto"/>
        </w:rPr>
        <w:t>Публичные обсуждения правоприменительной практики</w:t>
      </w:r>
      <w:proofErr w:type="gramStart"/>
      <w:r>
        <w:rPr>
          <w:color w:val="auto"/>
        </w:rPr>
        <w:t>/«</w:t>
      </w:r>
      <w:proofErr w:type="gramEnd"/>
      <w:r>
        <w:rPr>
          <w:color w:val="auto"/>
        </w:rPr>
        <w:t>Белая книга» размещена информация (разъяснение) о внесении изменений в отдельные законодательные акты Российской Федерации и Новосибирской области, содержащие обязательные требования в сфере архивного дела.</w:t>
      </w:r>
    </w:p>
    <w:p>
      <w:pPr>
        <w:pStyle w:val="20"/>
        <w:shd w:val="clear" w:color="auto" w:fill="auto"/>
        <w:spacing w:before="0"/>
        <w:ind w:firstLine="709"/>
      </w:pPr>
      <w:r>
        <w:t xml:space="preserve">В связи с изданием новых нормативных правовых актов в течение отчетного периода размещено 4 информации о внесенных изменениях в действующие акты, сроке и порядке их вступления в действие, в том числе в </w:t>
      </w:r>
      <w:r>
        <w:rPr>
          <w:color w:val="auto"/>
        </w:rPr>
        <w:t>Федеральный закон от 22.10.2004 № 125-ФЗ «Об архивном деле в Российской Федерации» (2 информации), в приказ Федерального архивного агентства от </w:t>
      </w:r>
      <w:r>
        <w:t>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в Закон Новосибирской области от 26.09.2005 № 315-ОЗ «Об архивном деле в Новосибирской области».</w:t>
      </w:r>
    </w:p>
    <w:p>
      <w:pPr>
        <w:pStyle w:val="20"/>
        <w:shd w:val="clear" w:color="auto" w:fill="auto"/>
        <w:spacing w:before="0"/>
        <w:ind w:firstLine="709"/>
      </w:pPr>
      <w:r>
        <w:t xml:space="preserve">Во исполнение положений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повышения информированности подконтрольных субъектов о действующих обязательных требованиях, формирования единого понимания обязательных требований подконтрольными субъектами управлением разработано, утверждено приказом от 20.07.2020 № 90-од (в редакции приказа от 11.11.2020 № 111-од) и размещено на официальном сайте управления в разделе «Деятельность/Контрольно-надзорная деятельность/Публичные обсуждения правоприменительной практики/«Белая книга» Руководство по соблюдению обязательных требований, установленных законодательством об архивном </w:t>
      </w:r>
      <w:r>
        <w:lastRenderedPageBreak/>
        <w:t>деле (далее – Руководство). Отличительной особенностью Руководства является наличие активных ссылок на применяемые формы документов, перечни документов и т.д., что способствует их быстрой адаптации на практике подконтрольными субъектами.</w:t>
      </w:r>
    </w:p>
    <w:p>
      <w:pPr>
        <w:pStyle w:val="20"/>
        <w:shd w:val="clear" w:color="auto" w:fill="auto"/>
        <w:spacing w:before="0"/>
        <w:ind w:firstLine="709"/>
      </w:pPr>
      <w:r>
        <w:t>Изменения и дополнения в Руководство в 2021 году не вносились (пункт 4 Плана-графика на 2021 год).</w:t>
      </w:r>
    </w:p>
    <w:p>
      <w:pPr>
        <w:pStyle w:val="20"/>
        <w:shd w:val="clear" w:color="auto" w:fill="auto"/>
        <w:spacing w:before="0"/>
        <w:ind w:firstLine="709"/>
      </w:pPr>
      <w:r>
        <w:t>Также в целях информированности подконтрольных субъектов на официальном сайте управления в разделе «Деятельность/Контрольно-надзорная деятельность/</w:t>
      </w:r>
      <w:hyperlink r:id="rId9" w:history="1">
        <w:r>
          <w:t>Публичные обсуждения правоприменительной практики</w:t>
        </w:r>
      </w:hyperlink>
      <w:proofErr w:type="gramStart"/>
      <w:r>
        <w:t>/«</w:t>
      </w:r>
      <w:proofErr w:type="gramEnd"/>
      <w:r>
        <w:t>Белая книга» размещены:</w:t>
      </w:r>
    </w:p>
    <w:p>
      <w:pPr>
        <w:pStyle w:val="a8"/>
        <w:widowControl w:val="0"/>
        <w:spacing w:before="0" w:after="0"/>
        <w:ind w:firstLine="709"/>
        <w:contextualSpacing/>
        <w:jc w:val="both"/>
        <w:rPr>
          <w:sz w:val="28"/>
          <w:szCs w:val="28"/>
        </w:rPr>
      </w:pPr>
      <w:r>
        <w:rPr>
          <w:sz w:val="28"/>
          <w:szCs w:val="28"/>
        </w:rPr>
        <w:t>1) </w:t>
      </w:r>
      <w:r>
        <w:rPr>
          <w:sz w:val="28"/>
          <w:szCs w:val="28"/>
        </w:rPr>
        <w:fldChar w:fldCharType="begin"/>
      </w:r>
      <w:r>
        <w:rPr>
          <w:sz w:val="28"/>
          <w:szCs w:val="28"/>
        </w:rPr>
        <w:instrText xml:space="preserve"> HYPERLINK "http://archives.nso.ru/sites/archives.nso.ru/wodby_files/files/page_1913/metodicheskie_rekomendacii_k_pravilam_2015.pdf" </w:instrText>
      </w:r>
      <w:r>
        <w:rPr>
          <w:sz w:val="28"/>
          <w:szCs w:val="28"/>
        </w:rPr>
        <w:fldChar w:fldCharType="separate"/>
      </w:r>
      <w:r>
        <w:rPr>
          <w:sz w:val="28"/>
          <w:szCs w:val="28"/>
        </w:rPr>
        <w:t>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pPr>
        <w:pStyle w:val="a8"/>
        <w:widowControl w:val="0"/>
        <w:spacing w:before="0" w:after="0"/>
        <w:ind w:firstLine="709"/>
        <w:contextualSpacing/>
        <w:jc w:val="both"/>
        <w:rPr>
          <w:sz w:val="28"/>
          <w:szCs w:val="28"/>
        </w:rPr>
      </w:pPr>
      <w:r>
        <w:rPr>
          <w:sz w:val="28"/>
          <w:szCs w:val="28"/>
        </w:rPr>
        <w:t>2) </w:t>
      </w:r>
      <w:r>
        <w:rPr>
          <w:sz w:val="28"/>
          <w:szCs w:val="28"/>
        </w:rPr>
        <w:fldChar w:fldCharType="end"/>
      </w:r>
      <w:hyperlink r:id="rId10" w:history="1">
        <w:r>
          <w:rPr>
            <w:sz w:val="28"/>
            <w:szCs w:val="28"/>
          </w:rPr>
          <w:t>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p>
    <w:p>
      <w:pPr>
        <w:pStyle w:val="a8"/>
        <w:widowControl w:val="0"/>
        <w:spacing w:before="0" w:after="0"/>
        <w:ind w:firstLine="709"/>
        <w:contextualSpacing/>
        <w:jc w:val="both"/>
        <w:rPr>
          <w:sz w:val="28"/>
          <w:szCs w:val="28"/>
        </w:rPr>
      </w:pPr>
      <w:r>
        <w:rPr>
          <w:sz w:val="28"/>
          <w:szCs w:val="28"/>
        </w:rPr>
        <w:t>3) м</w:t>
      </w:r>
      <w:hyperlink r:id="rId11" w:history="1">
        <w:r>
          <w:rPr>
            <w:sz w:val="28"/>
            <w:szCs w:val="28"/>
          </w:rPr>
          <w:t>етодические рекомендации по составлению и оформлению описей дел постоянного хранения и по личному составу и научно-справочного аппарата к ним (с образцами оформления:</w:t>
        </w:r>
      </w:hyperlink>
      <w:r>
        <w:rPr>
          <w:sz w:val="28"/>
          <w:szCs w:val="28"/>
        </w:rPr>
        <w:t xml:space="preserve"> </w:t>
      </w:r>
      <w:hyperlink r:id="rId12" w:history="1">
        <w:r>
          <w:rPr>
            <w:sz w:val="28"/>
            <w:szCs w:val="28"/>
          </w:rPr>
          <w:t>описи дел постоянного хранения;</w:t>
        </w:r>
      </w:hyperlink>
      <w:hyperlink r:id="rId13" w:history="1">
        <w:r>
          <w:rPr>
            <w:sz w:val="28"/>
            <w:szCs w:val="28"/>
          </w:rPr>
          <w:t xml:space="preserve"> описи дел по личному составу;</w:t>
        </w:r>
      </w:hyperlink>
      <w:r>
        <w:rPr>
          <w:sz w:val="28"/>
          <w:szCs w:val="28"/>
        </w:rPr>
        <w:t xml:space="preserve"> </w:t>
      </w:r>
      <w:hyperlink r:id="rId14" w:history="1">
        <w:r>
          <w:rPr>
            <w:sz w:val="28"/>
            <w:szCs w:val="28"/>
          </w:rPr>
          <w:t>титульного листа к описи;</w:t>
        </w:r>
      </w:hyperlink>
      <w:r>
        <w:rPr>
          <w:sz w:val="28"/>
          <w:szCs w:val="28"/>
        </w:rPr>
        <w:t xml:space="preserve"> </w:t>
      </w:r>
      <w:hyperlink r:id="rId15" w:history="1">
        <w:r>
          <w:rPr>
            <w:sz w:val="28"/>
            <w:szCs w:val="28"/>
          </w:rPr>
          <w:t>листа переименований к описи;</w:t>
        </w:r>
      </w:hyperlink>
      <w:r>
        <w:rPr>
          <w:sz w:val="28"/>
          <w:szCs w:val="28"/>
        </w:rPr>
        <w:t xml:space="preserve"> </w:t>
      </w:r>
      <w:hyperlink r:id="rId16" w:history="1">
        <w:r>
          <w:rPr>
            <w:sz w:val="28"/>
            <w:szCs w:val="28"/>
          </w:rPr>
          <w:t>предисловия к описи;</w:t>
        </w:r>
      </w:hyperlink>
      <w:r>
        <w:rPr>
          <w:sz w:val="28"/>
          <w:szCs w:val="28"/>
        </w:rPr>
        <w:t xml:space="preserve"> </w:t>
      </w:r>
      <w:hyperlink r:id="rId17" w:history="1">
        <w:r>
          <w:rPr>
            <w:sz w:val="28"/>
            <w:szCs w:val="28"/>
          </w:rPr>
          <w:t>списка сокращений)</w:t>
        </w:r>
      </w:hyperlink>
      <w:r>
        <w:rPr>
          <w:sz w:val="28"/>
          <w:szCs w:val="28"/>
        </w:rPr>
        <w:t>;</w:t>
      </w:r>
    </w:p>
    <w:p>
      <w:pPr>
        <w:pStyle w:val="a8"/>
        <w:widowControl w:val="0"/>
        <w:spacing w:before="0" w:after="0"/>
        <w:ind w:firstLine="709"/>
        <w:contextualSpacing/>
        <w:jc w:val="both"/>
        <w:rPr>
          <w:sz w:val="28"/>
          <w:szCs w:val="28"/>
        </w:rPr>
      </w:pPr>
      <w:r>
        <w:rPr>
          <w:sz w:val="28"/>
          <w:szCs w:val="28"/>
        </w:rPr>
        <w:t>4) м</w:t>
      </w:r>
      <w:hyperlink r:id="rId18" w:history="1">
        <w:r>
          <w:rPr>
            <w:sz w:val="28"/>
            <w:szCs w:val="28"/>
          </w:rPr>
          <w:t>етодические рекомендации «Экспертиза ценности и отбор в состав Архивного фонда Российской Федерации документов по личному составу»</w:t>
        </w:r>
      </w:hyperlink>
      <w:r>
        <w:rPr>
          <w:sz w:val="28"/>
          <w:szCs w:val="28"/>
        </w:rPr>
        <w:t>;</w:t>
      </w:r>
    </w:p>
    <w:p>
      <w:pPr>
        <w:pStyle w:val="a8"/>
        <w:widowControl w:val="0"/>
        <w:spacing w:before="0" w:after="0"/>
        <w:ind w:firstLine="709"/>
        <w:contextualSpacing/>
        <w:jc w:val="both"/>
        <w:rPr>
          <w:sz w:val="28"/>
          <w:szCs w:val="28"/>
        </w:rPr>
      </w:pPr>
      <w:r>
        <w:rPr>
          <w:sz w:val="28"/>
          <w:szCs w:val="28"/>
        </w:rPr>
        <w:t>5) п</w:t>
      </w:r>
      <w:hyperlink r:id="rId19" w:history="1">
        <w:r>
          <w:rPr>
            <w:sz w:val="28"/>
            <w:szCs w:val="28"/>
          </w:rPr>
          <w:t>амятка по подготовке к передаче на государственное хранение документов по личному составу ликвидированных организаций</w:t>
        </w:r>
      </w:hyperlink>
      <w:r>
        <w:rPr>
          <w:sz w:val="28"/>
          <w:szCs w:val="28"/>
        </w:rPr>
        <w:t>;</w:t>
      </w:r>
    </w:p>
    <w:p>
      <w:pPr>
        <w:pStyle w:val="a8"/>
        <w:widowControl w:val="0"/>
        <w:spacing w:before="0" w:after="0"/>
        <w:ind w:firstLine="709"/>
        <w:contextualSpacing/>
        <w:jc w:val="both"/>
        <w:rPr>
          <w:sz w:val="28"/>
          <w:szCs w:val="28"/>
        </w:rPr>
      </w:pPr>
      <w:r>
        <w:rPr>
          <w:sz w:val="28"/>
          <w:szCs w:val="28"/>
        </w:rPr>
        <w:t>6) м</w:t>
      </w:r>
      <w:hyperlink r:id="rId20" w:history="1">
        <w:r>
          <w:rPr>
            <w:sz w:val="28"/>
            <w:szCs w:val="28"/>
          </w:rPr>
          <w:t>етодические рекомендации по работе с документами по личному составу в государственных и муниципальных архивах, архивах организаций</w:t>
        </w:r>
      </w:hyperlink>
      <w:r>
        <w:rPr>
          <w:sz w:val="28"/>
          <w:szCs w:val="28"/>
        </w:rPr>
        <w:t>;</w:t>
      </w:r>
    </w:p>
    <w:p>
      <w:pPr>
        <w:pStyle w:val="a8"/>
        <w:widowControl w:val="0"/>
        <w:spacing w:before="0" w:after="0"/>
        <w:ind w:firstLine="709"/>
        <w:contextualSpacing/>
        <w:jc w:val="both"/>
        <w:rPr>
          <w:sz w:val="28"/>
          <w:szCs w:val="28"/>
        </w:rPr>
      </w:pPr>
      <w:r>
        <w:rPr>
          <w:sz w:val="28"/>
          <w:szCs w:val="28"/>
        </w:rPr>
        <w:t>7) </w:t>
      </w:r>
      <w:hyperlink r:id="rId21" w:history="1">
        <w:r>
          <w:rPr>
            <w:sz w:val="28"/>
            <w:szCs w:val="28"/>
          </w:rPr>
          <w:t>методические рекомендации по приему и описанию видеодокументов на электронных носителях</w:t>
        </w:r>
      </w:hyperlink>
      <w:r>
        <w:rPr>
          <w:sz w:val="28"/>
          <w:szCs w:val="28"/>
        </w:rPr>
        <w:t>.</w:t>
      </w:r>
    </w:p>
    <w:p>
      <w:pPr>
        <w:pStyle w:val="20"/>
        <w:shd w:val="clear" w:color="auto" w:fill="auto"/>
        <w:spacing w:before="0"/>
        <w:ind w:firstLine="709"/>
      </w:pPr>
      <w:r>
        <w:t xml:space="preserve">В целях повышения эффективности работы с подконтрольными субъектами при осуществлении регионального государственного контроля </w:t>
      </w:r>
      <w:r>
        <w:rPr>
          <w:color w:val="auto"/>
        </w:rPr>
        <w:t xml:space="preserve">в сфере архивного дела </w:t>
      </w:r>
      <w:r>
        <w:t>на официальном сайте управления продолжается ведение рубрики «Для организаций», в которой размещены нормативные правовые акты, содержащие обязательные требования в сфере архивного дела, инструктивные и методические материалы федерального и регионального уровней (типовые и примерные положения об архиве, экспертной комиссии, номенклатуры дел, перечни документов со сроками хранения, требования к инструкциям по делопроизводству и другие). В 2021 году подготовлен и размещен видеоролик «Оформление дела для передачи на постоянное и долговременное хранение».</w:t>
      </w:r>
    </w:p>
    <w:p>
      <w:pPr>
        <w:pStyle w:val="20"/>
        <w:shd w:val="clear" w:color="auto" w:fill="auto"/>
        <w:spacing w:before="0"/>
        <w:ind w:firstLine="709"/>
      </w:pPr>
      <w:r>
        <w:t xml:space="preserve">В связи с принятием Федерального закона от 31.07.2020 № 248-ФЗ «О государственном контроле (надзоре) и муниципальном контроле в Российской Федерации» и постановления Правительства Новосибирской области от 20.09.2021 № 365-п «Об утверждении Положения о региональном </w:t>
      </w:r>
      <w:r>
        <w:lastRenderedPageBreak/>
        <w:t>государственном контроле (надзоре) за соблюдением законодательства об архивном деле» (вступило в силу с 30.12.2021) приказом управления от 23.09.2021 № 110-од «О признании утратившими силу отдельных приказов управления государственной архивной службы Новосибирской области» с 30.12.2021 года Административный регламент управления государственной архивной службы Новосибирской области осуществления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признан утратившим силу (пункт 7 Плана-графика на 2021 год). Указанный приказ размещен на официальном сайте управления в разделе «Деятельность/Контрольно-надзорная деятельность/ Административный регламент осуществления регионального государственного контроля».</w:t>
      </w:r>
    </w:p>
    <w:p>
      <w:pPr>
        <w:pStyle w:val="20"/>
        <w:shd w:val="clear" w:color="auto" w:fill="auto"/>
        <w:spacing w:before="0"/>
        <w:ind w:firstLine="709"/>
      </w:pPr>
      <w:r>
        <w:t>В рамках публичных мероприятий, проведенных в течение 2021 года, на официальном сайте управления в разделе «Деятельность/Контрольно-надзорная деятельность/Публичные обсуждения правоприменительной практики» размещены обобщенные ответы на поступившие вопросы от подконтрольных субъектов (пункт 6 Плана-графика на 2021 год).</w:t>
      </w:r>
    </w:p>
    <w:p>
      <w:pPr>
        <w:pStyle w:val="20"/>
        <w:shd w:val="clear" w:color="auto" w:fill="auto"/>
        <w:spacing w:before="0"/>
        <w:ind w:firstLine="709"/>
        <w:rPr>
          <w:color w:val="auto"/>
        </w:rPr>
      </w:pPr>
      <w:r>
        <w:t xml:space="preserve">Сотрудниками управления оказывалась методическая помощь лицам, ответственным за ведение делопроизводства и архив в организациях, посредством консультаций по телефону и электронной почте, в ходе проведения плановых и внеплановых проверок. </w:t>
      </w:r>
      <w:r>
        <w:rPr>
          <w:color w:val="auto"/>
        </w:rPr>
        <w:t xml:space="preserve">Всего в течение 2021 года проведено 85 консультаций (пункт 5 </w:t>
      </w:r>
      <w:r>
        <w:t>Плана-графика на 2021 год</w:t>
      </w:r>
      <w:r>
        <w:rPr>
          <w:color w:val="auto"/>
        </w:rPr>
        <w:t>).</w:t>
      </w:r>
    </w:p>
    <w:p>
      <w:pPr>
        <w:pStyle w:val="20"/>
        <w:shd w:val="clear" w:color="auto" w:fill="auto"/>
        <w:tabs>
          <w:tab w:val="left" w:pos="4044"/>
          <w:tab w:val="left" w:pos="6005"/>
        </w:tabs>
        <w:spacing w:before="0"/>
        <w:ind w:firstLine="709"/>
      </w:pPr>
      <w:r>
        <w:t>В рамках реализации одного из этапов целевой модели «Осуществление контрольно-надзорной деятельности в субъектах Российской Федерации» на 2019 – 2021 гг., утвержденной распоряжением Правительства Российской Федерации от 31.07.2017 № 147-р, и в соответствии с Методическими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утвержденных проектным комитетом по основному направлению стратегического развития «Реформа контрольной и надзорной деятельности» (протокол от 21.02.2017 № 13(2)) (далее – методические рекомендации по публичным обсуждениям) управлением подготовлен и утвержден приказом от 17.12.2020 № 126-од План-график проведения публичных мероприятий на 2021 год управления государственной архивной службы Новосибирской области. Документ размещен на официальном сайте управления в разделе «Деятельность/Контрольно-надзорная деятельность/ Публичные обсуждения правоприменительной практики».</w:t>
      </w:r>
    </w:p>
    <w:p>
      <w:pPr>
        <w:pStyle w:val="20"/>
        <w:shd w:val="clear" w:color="auto" w:fill="auto"/>
        <w:spacing w:before="0"/>
        <w:ind w:firstLine="709"/>
      </w:pPr>
      <w:r>
        <w:rPr>
          <w:color w:val="auto"/>
        </w:rPr>
        <w:t xml:space="preserve">В рамках исполнения Плана-графика </w:t>
      </w:r>
      <w:r>
        <w:t>проведения публичных мероприятий на 2021 год</w:t>
      </w:r>
      <w:r>
        <w:rPr>
          <w:color w:val="auto"/>
        </w:rPr>
        <w:t xml:space="preserve"> и </w:t>
      </w:r>
      <w:r>
        <w:t>пунктов 8–9 Плана-графика на 2021 год:</w:t>
      </w:r>
    </w:p>
    <w:p>
      <w:pPr>
        <w:pStyle w:val="20"/>
        <w:shd w:val="clear" w:color="auto" w:fill="auto"/>
        <w:spacing w:before="0"/>
        <w:ind w:firstLine="709"/>
      </w:pPr>
      <w:r>
        <w:t xml:space="preserve">1) 26 марта 2021 года управление совместно с государственным казенным учреждением Новосибирской области «Государственный архив Новосибирской области» (далее – Государственный архив Новосибирской области) провело офлайн-семинар по теме «Контроль за соблюдением законодательства об архивном деле, ответственность юридических лиц за его </w:t>
      </w:r>
      <w:r>
        <w:lastRenderedPageBreak/>
        <w:t>нарушение c обсуждением типовых нарушений обязательных требований и возможными мероприятиями по их устранению. Внедрение в работу организаций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20"/>
        <w:shd w:val="clear" w:color="auto" w:fill="auto"/>
        <w:spacing w:before="0"/>
        <w:ind w:firstLine="709"/>
      </w:pPr>
      <w:r>
        <w:t>Сотрудниками управления и государственного архива подготовлены доклады с презентациями по следующим тематикам: «Контроль за соблюдением законодательства об архивном деле, ответственность юридических лиц за его нарушение. Типовые и массовые нарушения обязательных требований и возможные мероприятия по их устранению»; «Номенклатура дел организации»; «Проведение экспертизы ценности архивных документов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«Оформление архивных документов для долговременного хранения» (с проведением мастер-класса); «Требования к помещениям архива». В указанном мероприятии приняли участие 28 организаций, всего 33 участника.</w:t>
      </w:r>
    </w:p>
    <w:p>
      <w:pPr>
        <w:pStyle w:val="20"/>
        <w:shd w:val="clear" w:color="auto" w:fill="auto"/>
        <w:spacing w:before="0"/>
        <w:ind w:firstLine="709"/>
      </w:pPr>
      <w:r>
        <w:t>2) 25 июня 2021 года состоялся семинар по теме «Новые нормативные документы в сфере архивного дела» с обсуждением основных недостатков, выявляемых при передаче документов в архив на государственное хранение».</w:t>
      </w:r>
    </w:p>
    <w:p>
      <w:pPr>
        <w:pStyle w:val="20"/>
        <w:shd w:val="clear" w:color="auto" w:fill="auto"/>
        <w:spacing w:before="0"/>
        <w:ind w:firstLine="709"/>
      </w:pPr>
      <w:r>
        <w:t>Сотрудники управления и государственного архива выступили со следующими докладами: «Новые нормативные документы в сфере архивного дела»; «Экспертиза ценности и описание архивных документов»; «Недостатки, выявляемые при передаче архивных дел на государственное хранение»; «Контроль за соблюдением законодательства об архивном деле, ответственность юридических лиц за его нарушение. Типовые и массовые нарушения обязательных требований и возможные мероприятия по их устранению». Кроме того, государственным архивом был подготовлен видеоролик «Оформление дела для передачи на постоянное и долговременное хранение», который транслировался при проведении семинара. Участвовали 23 организации, всего 26 участников.</w:t>
      </w:r>
    </w:p>
    <w:p>
      <w:pPr>
        <w:pStyle w:val="20"/>
        <w:shd w:val="clear" w:color="auto" w:fill="auto"/>
        <w:spacing w:before="0"/>
        <w:ind w:firstLine="709"/>
      </w:pPr>
      <w:r>
        <w:t xml:space="preserve">В условиях действия на территории региона режима повышенной готовности в связи с распространением </w:t>
      </w:r>
      <w:proofErr w:type="spellStart"/>
      <w:r>
        <w:t>коронавирусной</w:t>
      </w:r>
      <w:proofErr w:type="spellEnd"/>
      <w:r>
        <w:t xml:space="preserve"> инфекции мероприятия проведены в дистанционном формате с применением системы видеоконференцсвязи (</w:t>
      </w:r>
      <w:proofErr w:type="spellStart"/>
      <w:r>
        <w:t>Videomost</w:t>
      </w:r>
      <w:proofErr w:type="spellEnd"/>
      <w:r>
        <w:t>).</w:t>
      </w:r>
    </w:p>
    <w:p>
      <w:pPr>
        <w:pStyle w:val="20"/>
        <w:shd w:val="clear" w:color="auto" w:fill="auto"/>
        <w:spacing w:before="0"/>
        <w:ind w:firstLine="709"/>
      </w:pPr>
      <w:r>
        <w:t>По итогам семинаров на официальном сайте управления в разделе «Деятельность/Контрольно-надзорная деятельность/Публичные обсуждения правоприменительной практики» размещены (уведомления о проведении, программы семинаров, доклады с презентациями, видеозаписи мероприятий, итоги семинаров и обобщенные ответы на вопросы).</w:t>
      </w:r>
    </w:p>
    <w:p>
      <w:pPr>
        <w:pStyle w:val="20"/>
        <w:shd w:val="clear" w:color="auto" w:fill="auto"/>
        <w:spacing w:before="0"/>
        <w:ind w:firstLine="709"/>
      </w:pPr>
      <w:r>
        <w:t xml:space="preserve">3) Основной темой круглого стола, состоявшегося 31 августа 2021 года стала «Актуальные проблемы обеспечения сохранности архивных документов». В основном докладе на указанную тему были обозначены виды архивов и основные требования, предъявляемые к помещениям архивов, даны разъяснения о необходимости выстраивания работы архива организации с </w:t>
      </w:r>
      <w:r>
        <w:lastRenderedPageBreak/>
        <w:t>учетом требований нормативных правовых актов и положений методических рекомендаций, а также указаний по обеспечению сохранности документов. В докладе также были отражены основные проблемы обеспечения сохранности архивных документов.</w:t>
      </w:r>
    </w:p>
    <w:p>
      <w:pPr>
        <w:pStyle w:val="20"/>
        <w:shd w:val="clear" w:color="auto" w:fill="auto"/>
        <w:spacing w:before="0"/>
        <w:ind w:firstLine="709"/>
      </w:pPr>
      <w:r>
        <w:t xml:space="preserve">В условиях действия на территории региона режима повышенной готовности в связи с распространением </w:t>
      </w:r>
      <w:proofErr w:type="spellStart"/>
      <w:r>
        <w:t>коронавирусной</w:t>
      </w:r>
      <w:proofErr w:type="spellEnd"/>
      <w:r>
        <w:t xml:space="preserve"> инфекции мероприятие проведено в дистанционном формате путем размещения информационных материалов на официальном сайте управления в разделе «Деятельность/Контрольно-надзорная деятельность/Публичные обсуждения правоприменительной практики», а также их направления в организации, включенные в план проведения плановых проверок юридических лиц и индивидуальных предпринимателей на 2021 год. В круглом столе приняли участие 34 организаций.</w:t>
      </w:r>
    </w:p>
    <w:p>
      <w:pPr>
        <w:pStyle w:val="20"/>
        <w:shd w:val="clear" w:color="auto" w:fill="auto"/>
        <w:spacing w:before="0"/>
        <w:ind w:firstLine="709"/>
      </w:pPr>
      <w:r>
        <w:t>Обучающие семинары, круглый стол для должностных лиц, ответственных за делопроизводство и архив, направлены на получение указанными лицами представления о порядке работы с документами, как на стадии текущего делопроизводства, так и позднее, при создании архивного фонда организации и направлены прежде всего на повышение уровня правовой грамотности подконтрольных субъектов, обеспечение единого понимания обязательных требований в сфере архивного дела, повышение доступности информации об обязательных требованиях в сфере архивного дела и необходимых мерах по их исполнению.</w:t>
      </w:r>
    </w:p>
    <w:p>
      <w:pPr>
        <w:pStyle w:val="20"/>
        <w:shd w:val="clear" w:color="auto" w:fill="auto"/>
        <w:spacing w:before="0"/>
        <w:ind w:firstLine="709"/>
      </w:pPr>
      <w:r>
        <w:t>4) 07 декабря 2021 года проведены публичные обсуждения результатов правоприменительной практики управления за 10 месяцев 2021 года.</w:t>
      </w:r>
    </w:p>
    <w:p>
      <w:pPr>
        <w:pStyle w:val="20"/>
        <w:shd w:val="clear" w:color="auto" w:fill="auto"/>
        <w:spacing w:before="0"/>
        <w:ind w:firstLine="709"/>
      </w:pPr>
      <w:r>
        <w:t>Специалистами управления подготовлены доклады «Контроль за соблюдением законодательства об архивном деле, ответственность юридических лиц за его нарушение. Результаты правоприменительной практики управления государственной архивной службы Новосибирский области за 10 месяцев 2021 года» и «Осуществление регионального государственного контроля (надзора) в сфере архивного дела по новому законодательству» с презентациями к ним.</w:t>
      </w:r>
    </w:p>
    <w:p>
      <w:pPr>
        <w:pStyle w:val="20"/>
        <w:shd w:val="clear" w:color="auto" w:fill="auto"/>
        <w:spacing w:before="0"/>
        <w:ind w:firstLine="709"/>
      </w:pPr>
      <w:r>
        <w:t xml:space="preserve">В условиях действия на территории региона режима повышенной готовности в связи с распространением </w:t>
      </w:r>
      <w:proofErr w:type="spellStart"/>
      <w:r>
        <w:t>коронавирусной</w:t>
      </w:r>
      <w:proofErr w:type="spellEnd"/>
      <w:r>
        <w:t xml:space="preserve"> инфекции мероприятие организовано в дистанционном формате путем размещения информационных материалов на официальном сайте управления в разделе «Деятельность/Контрольно-надзорная деятельность/Публичные обсуждения правоприменительной практики» и их направления в прокуратуру Новосибирской области, Общественную палату Новосибирской области, уполномоченному по защите прав предпринимателей в Новосибирской области, Межрегиональную ассоциацию руководителей предприятий и иные общественные объединения предпринимателей, а также в организации, проверенные согласно плана проведения плановых проверок юридических лиц и индивидуальных предпринимателей на 2021 год, а также организации, проверенные в 2021 году управлением в рамках исполнения ранее выданных предписаний об устранении выявленных нарушений обязательных требований законодательства об архивном деле. Рассылка проведена в </w:t>
      </w:r>
      <w:r>
        <w:lastRenderedPageBreak/>
        <w:t>84 органа, объединения, учреждения, организации.</w:t>
      </w:r>
    </w:p>
    <w:p>
      <w:pPr>
        <w:pStyle w:val="20"/>
        <w:shd w:val="clear" w:color="auto" w:fill="auto"/>
        <w:spacing w:before="0"/>
        <w:ind w:firstLine="709"/>
      </w:pPr>
      <w:r>
        <w:t xml:space="preserve">Согласно методическим рекомендациям по публичным обсуждениям все материалы (уведомление о проведении, доклады с презентациями, пресс-релиз по итогам, обобщенные </w:t>
      </w:r>
      <w:hyperlink r:id="rId22" w:history="1">
        <w:r>
          <w:t>ответы на вопросы</w:t>
        </w:r>
      </w:hyperlink>
      <w:r>
        <w:t>, р</w:t>
      </w:r>
      <w:hyperlink r:id="rId23" w:history="1">
        <w:r>
          <w:t>езультаты анкетирования</w:t>
        </w:r>
      </w:hyperlink>
      <w:r>
        <w:t>)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
    <w:p>
      <w:pPr>
        <w:pStyle w:val="20"/>
        <w:shd w:val="clear" w:color="auto" w:fill="auto"/>
        <w:spacing w:before="0"/>
        <w:ind w:firstLine="709"/>
      </w:pPr>
      <w:r>
        <w:t>Во исполнение пункта 8.3.4. раздела III Методических рекомендаций и пункта 10 Плана-графика на 2021 год подготовлены и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roofErr w:type="gramStart"/>
      <w:r>
        <w:t>/«</w:t>
      </w:r>
      <w:proofErr w:type="gramEnd"/>
      <w:r>
        <w:t xml:space="preserve">Черная книга» поквартальные обобщения практики осуществления регионального государственного контроля </w:t>
      </w:r>
      <w:r>
        <w:rPr>
          <w:color w:val="auto"/>
        </w:rPr>
        <w:t>в сфере архивного дела</w:t>
      </w:r>
      <w:r>
        <w:t>.</w:t>
      </w:r>
    </w:p>
    <w:p>
      <w:pPr>
        <w:pStyle w:val="20"/>
        <w:shd w:val="clear" w:color="auto" w:fill="auto"/>
        <w:spacing w:before="0"/>
        <w:ind w:firstLine="709"/>
      </w:pPr>
      <w:r>
        <w:t>В соответствии с пунктом 3 раздела I Методических рекомендаций по обобщению и анализу правоприменительной практики контрольно-надзорной деятельности,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 7), и пункта 11 Плана- графика на 2021 год управлением подготовлен проект обзора правоприменительной практики контрольной деятельности (далее – обзор практики) и размещен на официальном сайте управления для замечаний и предложений.</w:t>
      </w:r>
    </w:p>
    <w:p>
      <w:pPr>
        <w:pStyle w:val="20"/>
        <w:shd w:val="clear" w:color="auto" w:fill="auto"/>
        <w:spacing w:before="0"/>
        <w:ind w:firstLine="709"/>
        <w:rPr>
          <w:color w:val="auto"/>
        </w:rPr>
      </w:pPr>
      <w:r>
        <w:t xml:space="preserve">Проект обзора практики рассмотрен на заседании Общественного совета при управлении и утвержден приказом управления от 11.05.2021 № 55-од «Об утверждении обзора правоприменительной практики контрольной деятельности управления государственной архивной службы Новосибирской области за 2020 год» и размещен в установленные сроки на официальном сайте управления в разделе «Деятельность/Контрольно-надзорная деятельность/ Публичные обсуждения правоприменительной практики/Обзоры правоприменительной практики». Таким образом, установленный в пункте 11 Плана-графика </w:t>
      </w:r>
      <w:r>
        <w:rPr>
          <w:color w:val="auto"/>
        </w:rPr>
        <w:t>срок разработки и утверждения обзора практики – до 20 мая 2021 года, исполнен.</w:t>
      </w:r>
    </w:p>
    <w:p>
      <w:pPr>
        <w:pStyle w:val="20"/>
        <w:shd w:val="clear" w:color="auto" w:fill="auto"/>
        <w:spacing w:before="0"/>
        <w:ind w:firstLine="709"/>
        <w:rPr>
          <w:color w:val="auto"/>
        </w:rPr>
      </w:pPr>
      <w:r>
        <w:rPr>
          <w:color w:val="auto"/>
        </w:rPr>
        <w:t xml:space="preserve">В обзоре практики </w:t>
      </w:r>
      <w:r>
        <w:t>отражены выявляемые управлением в ходе осуществления контроля в сфере архивного дела типичные нарушения обязательных требований в сфере архивного дела и рекомендации в отношении мер, которые должны приниматься юридическими лицами в целях недопущения таких нарушений, а также предложения по совершенствованию законодательства Российской Федерации, законов и иных нормативных правовых актов Новосибирской области об архивном деле.</w:t>
      </w:r>
    </w:p>
    <w:p>
      <w:pPr>
        <w:pStyle w:val="20"/>
        <w:shd w:val="clear" w:color="auto" w:fill="auto"/>
        <w:spacing w:before="0"/>
        <w:ind w:firstLine="709"/>
      </w:pPr>
      <w:r>
        <w:t xml:space="preserve">Типичными нарушениями юридическими лицами обязательных требований, установленных в разделе IV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w:t>
      </w:r>
      <w:r>
        <w:lastRenderedPageBreak/>
        <w:t>от 31.03.2015 № 526 являются:</w:t>
      </w:r>
    </w:p>
    <w:p>
      <w:pPr>
        <w:pStyle w:val="20"/>
        <w:shd w:val="clear" w:color="auto" w:fill="auto"/>
        <w:spacing w:before="0"/>
        <w:ind w:firstLine="709"/>
      </w:pPr>
      <w:r>
        <w:t>– не проведена в установленные сроки экспертиза ценности архивных документов;</w:t>
      </w:r>
    </w:p>
    <w:p>
      <w:pPr>
        <w:pStyle w:val="20"/>
        <w:shd w:val="clear" w:color="auto" w:fill="auto"/>
        <w:spacing w:before="0"/>
        <w:ind w:firstLine="709"/>
      </w:pPr>
      <w:r>
        <w:t>– законченные делопроизводством дела постоянного и временных (свыше 10 лет) сроков хранения, в том числе по личному составу, не подготовлены к передаче в архив организации полностью либо частично, например, отдельные дела не подшиты или подшиты на 2–3 прокола, в ряде дел листы не пронумерованы или пронумерованы ручкой, в отдельных делах отсутствуют листы-заверители либо они оформлены без учета требований законодательства;</w:t>
      </w:r>
    </w:p>
    <w:p>
      <w:pPr>
        <w:pStyle w:val="20"/>
        <w:shd w:val="clear" w:color="auto" w:fill="auto"/>
        <w:spacing w:before="0"/>
        <w:ind w:firstLine="709"/>
      </w:pPr>
      <w:r>
        <w:t>– не составлены описи дел постоянного и временного (свыше 10 лет) сроков хранения, в том числе по личному составу;</w:t>
      </w:r>
    </w:p>
    <w:p>
      <w:pPr>
        <w:pStyle w:val="20"/>
        <w:shd w:val="clear" w:color="auto" w:fill="auto"/>
        <w:spacing w:before="0"/>
        <w:ind w:firstLine="709"/>
      </w:pPr>
      <w:r>
        <w:t>– нарушен порядок составления и согласования номенклатуры дел (у юридического лица отсутствует номенклатура дел на текущий год, нарушена периодичность согласования номенклатуры дел с экспертно-проверочной комиссией управления – прошло более 5 лет).</w:t>
      </w:r>
    </w:p>
    <w:p>
      <w:pPr>
        <w:pStyle w:val="20"/>
        <w:shd w:val="clear" w:color="auto" w:fill="auto"/>
        <w:spacing w:before="0"/>
        <w:ind w:firstLine="709"/>
      </w:pPr>
      <w:r>
        <w:t>Наиболее ценными для подконтрольных субъектов в обзоре практики являются рекомендации в отношении мер, которые должны ими приниматься в целях недопущения нарушений обязательных требований в сфере архивного дела.</w:t>
      </w:r>
    </w:p>
    <w:p>
      <w:pPr>
        <w:pStyle w:val="20"/>
        <w:shd w:val="clear" w:color="auto" w:fill="auto"/>
        <w:spacing w:before="0"/>
        <w:ind w:firstLine="709"/>
      </w:pPr>
      <w:r>
        <w:t xml:space="preserve">Информация о проведении проверки, об уведомлении юридического лица о проведении проверки, о результатах проверки и мерах, принятых по результатам проверки, размещается в федеральной государственной информационной системе «Единый реестр проверок» </w:t>
      </w:r>
      <w:r>
        <w:rPr>
          <w:lang w:eastAsia="en-US" w:bidi="en-US"/>
        </w:rPr>
        <w:t>(</w:t>
      </w:r>
      <w:hyperlink r:id="rId24" w:history="1">
        <w:r>
          <w:rPr>
            <w:rStyle w:val="a3"/>
            <w:lang w:val="en-US" w:eastAsia="en-US" w:bidi="en-US"/>
          </w:rPr>
          <w:t>https</w:t>
        </w:r>
        <w:r>
          <w:rPr>
            <w:rStyle w:val="a3"/>
            <w:lang w:eastAsia="en-US" w:bidi="en-US"/>
          </w:rPr>
          <w:t>://</w:t>
        </w:r>
        <w:proofErr w:type="spellStart"/>
        <w:r>
          <w:rPr>
            <w:rStyle w:val="a3"/>
            <w:lang w:val="en-US" w:eastAsia="en-US" w:bidi="en-US"/>
          </w:rPr>
          <w:t>proverki</w:t>
        </w:r>
        <w:proofErr w:type="spellEnd"/>
        <w:r>
          <w:rPr>
            <w:rStyle w:val="a3"/>
            <w:lang w:eastAsia="en-US" w:bidi="en-US"/>
          </w:rPr>
          <w:t>.</w:t>
        </w:r>
        <w:proofErr w:type="spellStart"/>
        <w:r>
          <w:rPr>
            <w:rStyle w:val="a3"/>
            <w:lang w:val="en-US" w:eastAsia="en-US" w:bidi="en-US"/>
          </w:rPr>
          <w:t>gov</w:t>
        </w:r>
        <w:proofErr w:type="spellEnd"/>
        <w:r>
          <w:rPr>
            <w:rStyle w:val="a3"/>
            <w:lang w:eastAsia="en-US" w:bidi="en-US"/>
          </w:rPr>
          <w:t>.</w:t>
        </w:r>
        <w:proofErr w:type="spellStart"/>
        <w:r>
          <w:rPr>
            <w:rStyle w:val="a3"/>
            <w:lang w:val="en-US" w:eastAsia="en-US" w:bidi="en-US"/>
          </w:rPr>
          <w:t>ru</w:t>
        </w:r>
        <w:proofErr w:type="spellEnd"/>
      </w:hyperlink>
      <w:r>
        <w:rPr>
          <w:lang w:eastAsia="en-US" w:bidi="en-US"/>
        </w:rPr>
        <w:t xml:space="preserve">) </w:t>
      </w:r>
      <w:r>
        <w:t>в соответствии с требованиями, установленными постановлением Правительства Российской Федерации от 28.04.2015 № 415 «О Правилах формирования и ведения единого реестра проверок».</w:t>
      </w:r>
    </w:p>
    <w:p>
      <w:pPr>
        <w:pStyle w:val="20"/>
        <w:shd w:val="clear" w:color="auto" w:fill="auto"/>
        <w:tabs>
          <w:tab w:val="right" w:pos="9494"/>
        </w:tabs>
        <w:spacing w:before="0"/>
        <w:ind w:firstLine="709"/>
      </w:pPr>
      <w:r>
        <w:t>Кроме того, управлением в течение года осуществлялось информирование о планируемых проверках и результатах проведенных проверок, состоянии соблюдения законодательства об архивном деле путем размещения информации на официальном сайте управления в разделе «Деятельность/Контрольно-надзорная деятельность/</w:t>
      </w:r>
      <w:hyperlink r:id="rId25" w:history="1">
        <w:r>
          <w:t>Проверки. Индикаторы и категории риска. Проверочные листы</w:t>
        </w:r>
      </w:hyperlink>
      <w:r>
        <w:t>», всего размещено 172 материала, из них 82 информации о проведении проверок, 82 информации о результатах проведенных проверок, 8 информаций о внесении изменений в план проведения плановых проверок юридических лиц и индивидуальных предпринимателей на 2021 год (пункт 12 Плана-графика на 2021 год).</w:t>
      </w:r>
    </w:p>
    <w:p>
      <w:pPr>
        <w:pStyle w:val="20"/>
        <w:shd w:val="clear" w:color="auto" w:fill="auto"/>
        <w:tabs>
          <w:tab w:val="right" w:pos="9494"/>
        </w:tabs>
        <w:spacing w:before="0"/>
        <w:ind w:firstLine="709"/>
      </w:pPr>
      <w:r>
        <w:t>Общее количество проведенных управлением профилактических мероприятий (семинаров, круглых столов, обсуждений правоприменительной практики, консультаций, обзоров, размещенных материалов и т.д.) в течение 2021 года составило 262. Количество подконтрольных субъектов, в отношении которых проведены профилактические мероприятия – 426.</w:t>
      </w:r>
    </w:p>
    <w:p>
      <w:pPr>
        <w:pStyle w:val="20"/>
        <w:shd w:val="clear" w:color="auto" w:fill="auto"/>
        <w:tabs>
          <w:tab w:val="right" w:pos="9494"/>
        </w:tabs>
        <w:spacing w:before="0"/>
        <w:ind w:firstLine="709"/>
      </w:pPr>
      <w:r>
        <w:t xml:space="preserve">В соответствии с пунктом 44 подраздела 4.1.2. раздела 4 Стандарта управлением был подготовлен и направлен в </w:t>
      </w:r>
      <w:r>
        <w:rPr>
          <w:rFonts w:eastAsia="Calibri"/>
        </w:rPr>
        <w:t xml:space="preserve">Общественную палату Новосибирской области, </w:t>
      </w:r>
      <w:r>
        <w:t xml:space="preserve">Новосибирское региональное отделение ООО «Деловая Россия», Новосибирское областное отделение «Опора России», </w:t>
      </w:r>
      <w:r>
        <w:lastRenderedPageBreak/>
        <w:t>Союз «Новосибирской торгово-промышленной палаты», Союз «Новосибирской городской торгово-промышленной палаты» проект доклад об итогах профилактической работы, проведенной контрольным органом в 2020 году для ознакомления и направления отзывов, замечаний и предложений.</w:t>
      </w:r>
    </w:p>
    <w:p>
      <w:pPr>
        <w:pStyle w:val="20"/>
        <w:shd w:val="clear" w:color="auto" w:fill="auto"/>
        <w:spacing w:before="0"/>
        <w:ind w:firstLine="709"/>
      </w:pPr>
      <w:r>
        <w:t>В соответствии с пунктом 13 Плана-графика на 2021 год доклад об итогах профилактической работы, проведенной контрольным органом в 2020 году, утвержден приказом управления от 12.02.2021 № 23-од и размещен на официальном сайте управления в разделе «Деятельность/Контрольно-надзорная деятельность/Профилактика рисков причинения вреда/доклад об итогах профилактической работы».</w:t>
      </w:r>
    </w:p>
    <w:p>
      <w:pPr>
        <w:tabs>
          <w:tab w:val="left" w:pos="1080"/>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статьи 44 Федерального закона от 31.07.2020 № 248-ФЗ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в соответствии со Стандартом и пунктами 16–17 Плана-графика на 2021 год управлением создана рабочая группа (с привлечением в ее состав представителя научного сообщества) по разработке проекта Программа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об архивном деле, осуществляемому управлением государственной архивной службы Новосибирской области, на 2022 год (далее – проект Программы профилактики на 2022 год). Осуществлен сбор предложений для формирования указанного проекта и его разработка.</w:t>
      </w:r>
    </w:p>
    <w:p>
      <w:pPr>
        <w:tabs>
          <w:tab w:val="left" w:pos="1080"/>
        </w:tabs>
        <w:ind w:firstLine="708"/>
        <w:jc w:val="both"/>
        <w:rPr>
          <w:rFonts w:ascii="Times New Roman" w:hAnsi="Times New Roman" w:cs="Times New Roman"/>
          <w:sz w:val="28"/>
          <w:szCs w:val="28"/>
        </w:rPr>
      </w:pPr>
      <w:r>
        <w:rPr>
          <w:rFonts w:ascii="Times New Roman" w:hAnsi="Times New Roman" w:cs="Times New Roman"/>
          <w:sz w:val="28"/>
          <w:szCs w:val="28"/>
        </w:rPr>
        <w:t>Проект Программы профилактики на 2022 год был размещен на официальном сайте управления в разделе «Деятельность/Контрольно-надзорная деятельность/Профилактика рисков причинения вреда</w:t>
      </w:r>
      <w:r>
        <w:t>»</w:t>
      </w:r>
      <w:r>
        <w:rPr>
          <w:rFonts w:ascii="Times New Roman" w:hAnsi="Times New Roman" w:cs="Times New Roman"/>
          <w:sz w:val="28"/>
          <w:szCs w:val="28"/>
        </w:rPr>
        <w:t xml:space="preserve"> для общественного обсуждения в период с 1 октября по 1 ноября </w:t>
      </w:r>
      <w:r>
        <w:t>2021</w:t>
      </w:r>
      <w:r>
        <w:rPr>
          <w:rFonts w:ascii="Times New Roman" w:hAnsi="Times New Roman" w:cs="Times New Roman"/>
          <w:sz w:val="28"/>
          <w:szCs w:val="28"/>
        </w:rPr>
        <w:t xml:space="preserve"> года с целью выявления и учета мнения граждан, некоммерческих общественных и иных организаций и учреждений по вопросам проведения профилактических мероприятий при осуществлении регионального государственного контроля (надзора) за соблюдением законодательства об архивном деле. Замечаний и предложений по итогам рассмотрения не поступало.</w:t>
      </w:r>
    </w:p>
    <w:p>
      <w:pPr>
        <w:tabs>
          <w:tab w:val="left" w:pos="1080"/>
        </w:tabs>
        <w:ind w:firstLine="708"/>
        <w:jc w:val="both"/>
        <w:rPr>
          <w:rFonts w:ascii="Times New Roman" w:hAnsi="Times New Roman" w:cs="Times New Roman"/>
          <w:sz w:val="28"/>
          <w:szCs w:val="28"/>
        </w:rPr>
      </w:pPr>
      <w:r>
        <w:rPr>
          <w:rFonts w:ascii="Times New Roman" w:hAnsi="Times New Roman" w:cs="Times New Roman"/>
          <w:sz w:val="28"/>
          <w:szCs w:val="28"/>
        </w:rPr>
        <w:t>Проект Программы профилактики на 2022 год рассмотрен и одобрен на заседании Общественного совета при управлении (протокол от 26.11.2021 № 6). По результатам обсуждения и одобрения Программа профилактики на 2022 год утверждена приказом управления от 10.12.2021 № 156-од и размещена на официальном сайте управления в разделе «Деятельность/Контрольно-надзорная деятельность/Профилактика рисков причинения вреда/Программа профилактики нарушений обязательных требований».</w:t>
      </w:r>
    </w:p>
    <w:p>
      <w:pPr>
        <w:tabs>
          <w:tab w:val="left" w:pos="1080"/>
        </w:tabs>
        <w:ind w:firstLine="708"/>
        <w:jc w:val="both"/>
        <w:rPr>
          <w:rFonts w:ascii="Times New Roman" w:hAnsi="Times New Roman" w:cs="Times New Roman"/>
          <w:sz w:val="28"/>
          <w:szCs w:val="28"/>
        </w:rPr>
      </w:pPr>
      <w:r>
        <w:rPr>
          <w:rFonts w:ascii="Times New Roman" w:hAnsi="Times New Roman" w:cs="Times New Roman"/>
          <w:sz w:val="28"/>
          <w:szCs w:val="28"/>
        </w:rPr>
        <w:t>Приказом управления от 17.12.2021 № 164-од утвержден План-график проведения публичного мероприятия на 2022 год управления государственной архивной службы Новосибирской области. Документ размещен на официальном сайте управления в разделе «Деятельность/Контрольно-</w:t>
      </w:r>
      <w:r>
        <w:rPr>
          <w:rFonts w:ascii="Times New Roman" w:hAnsi="Times New Roman" w:cs="Times New Roman"/>
          <w:sz w:val="28"/>
          <w:szCs w:val="28"/>
        </w:rPr>
        <w:lastRenderedPageBreak/>
        <w:t>надзорная деятельность/Публичные обсуждения правоприменительной практики» (пункт 18 Плана-графика на 2021 год).</w:t>
      </w:r>
    </w:p>
    <w:p>
      <w:pPr>
        <w:tabs>
          <w:tab w:val="left" w:pos="1080"/>
        </w:tabs>
        <w:ind w:firstLine="708"/>
        <w:jc w:val="both"/>
        <w:rPr>
          <w:rFonts w:ascii="Times New Roman" w:hAnsi="Times New Roman" w:cs="Times New Roman"/>
          <w:sz w:val="28"/>
          <w:szCs w:val="28"/>
        </w:rPr>
      </w:pPr>
      <w:r>
        <w:rPr>
          <w:rFonts w:ascii="Times New Roman" w:hAnsi="Times New Roman" w:cs="Times New Roman"/>
          <w:sz w:val="28"/>
          <w:szCs w:val="28"/>
        </w:rPr>
        <w:t>Во исполнение Федерального закона от 31.07.2020 № 248-ФЗ «О государственном контроле (надзоре) и муниципальном контроле в Российской Федерации» и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управлением проведено категорирование объектов, проверяемых в рамках регионального государственного контроля (надзора) за соблюдением законодательства об архивном деле. Результаты отнесения деятельности контролируемых лиц и (или) принадлежащих им (используемых ими) иных объектов контроля к категории риска утверждены приказом управления от 20.09.2021 № 108-од «Об отнесении объектов контроля к определенной категории риска» (размещен на официальном сайте управления в разделе «Деятельность/Контрольно-надзорная деятельность/</w:t>
      </w:r>
      <w:hyperlink r:id="rId26" w:history="1">
        <w:r>
          <w:rPr>
            <w:rFonts w:ascii="Times New Roman" w:hAnsi="Times New Roman" w:cs="Times New Roman"/>
            <w:sz w:val="28"/>
            <w:szCs w:val="28"/>
          </w:rPr>
          <w:t>Проверки. Индикаторы и категории риска. Проверочные листы</w:t>
        </w:r>
      </w:hyperlink>
      <w:r>
        <w:rPr>
          <w:rFonts w:ascii="Times New Roman" w:hAnsi="Times New Roman" w:cs="Times New Roman"/>
          <w:sz w:val="28"/>
          <w:szCs w:val="28"/>
        </w:rPr>
        <w:t>»). На основании полученных результатов сформирован план проведения плановых контрольных (надзорных) мероприятий на 2022 год, который согласован Прокуратурой Новосибирской области и утвержден 08.11.2021 начальником управления. В план проведения плановых контрольных (надзорных) мероприятий на 2022 год включено всего 7 юридических лиц (план 2021 года – 74 юридических лица).</w:t>
      </w:r>
    </w:p>
    <w:p>
      <w:pPr>
        <w:pStyle w:val="20"/>
        <w:shd w:val="clear" w:color="auto" w:fill="auto"/>
        <w:spacing w:before="0"/>
        <w:ind w:firstLine="709"/>
      </w:pPr>
      <w:r>
        <w:t>В соответствии с пунктом 19 Плана-графика на 2021 год утвержденный план проведения плановых контрольных (надзорных) мероприятий на 2022 год размещен на официальном сайте управления в разделе «Деятельность/Контрольно-надзорная деятельность/</w:t>
      </w:r>
      <w:hyperlink r:id="rId27" w:history="1">
        <w:r>
          <w:t>Проверки. Индикаторы и категории риска. Проверочные листы</w:t>
        </w:r>
      </w:hyperlink>
      <w:r>
        <w:t>/Планы проверок».</w:t>
      </w:r>
    </w:p>
    <w:p>
      <w:pPr>
        <w:pStyle w:val="20"/>
        <w:shd w:val="clear" w:color="auto" w:fill="auto"/>
        <w:spacing w:before="0"/>
        <w:ind w:firstLine="709"/>
      </w:pPr>
      <w:r>
        <w:t>Осуществлены своевременная подготовка и размещение на официальном сайте управления в разделе «Деятельность/Контрольно-надзорная деятельность/</w:t>
      </w:r>
      <w:hyperlink r:id="rId28" w:history="1">
        <w:r>
          <w:t>Проверки. Индикаторы и категории риска. Проверочные листы</w:t>
        </w:r>
      </w:hyperlink>
      <w:r>
        <w:t>/Доклады, отчеты по контрольно-надзорной деятельности» формы федерального статистического наблюдения № 1-контроль «Сведения об осуществлении государственного контроля (надзора) и муниципального контроля» по итогам полугодия и года (пункт 20 Плана-графика на 2021 год).</w:t>
      </w:r>
    </w:p>
    <w:p>
      <w:pPr>
        <w:pStyle w:val="20"/>
        <w:shd w:val="clear" w:color="auto" w:fill="auto"/>
        <w:spacing w:before="0"/>
        <w:ind w:firstLine="709"/>
        <w:rPr>
          <w:color w:val="auto"/>
        </w:rPr>
      </w:pPr>
      <w:r>
        <w:t xml:space="preserve">В течение 2021 года работа по наполнению </w:t>
      </w:r>
      <w:r>
        <w:rPr>
          <w:color w:val="auto"/>
        </w:rPr>
        <w:t>государственной информационной системы «Типовое облачное решение по автоматизации контрольно-надзорной деятельности» практически не велась из-за ее перехода в продуктивную среду «версии 2» (пункт 21 Плана-графика на 2021 год).</w:t>
      </w:r>
    </w:p>
    <w:p>
      <w:pPr>
        <w:pStyle w:val="20"/>
        <w:shd w:val="clear" w:color="auto" w:fill="auto"/>
        <w:spacing w:before="0"/>
        <w:ind w:firstLine="709"/>
      </w:pPr>
      <w:r>
        <w:t xml:space="preserve">Управлением проведен анализ уровня развития </w:t>
      </w:r>
      <w:r>
        <w:rPr>
          <w:rFonts w:eastAsiaTheme="minorHAnsi"/>
          <w:lang w:eastAsia="en-US"/>
        </w:rPr>
        <w:t>Программы профилактики нарушений обязательных требований в сфере архивного дела на 2021 год</w:t>
      </w:r>
      <w:r>
        <w:t xml:space="preserve"> путем </w:t>
      </w:r>
      <w:proofErr w:type="spellStart"/>
      <w:r>
        <w:t>самообследования</w:t>
      </w:r>
      <w:proofErr w:type="spellEnd"/>
      <w:r>
        <w:t xml:space="preserve"> (анкетирования). Анкета размещена на официальном сайте управления в разделе «Деятельность/Контрольно-надзорная деятельность/</w:t>
      </w:r>
      <w:hyperlink r:id="rId29" w:history="1">
        <w:r>
          <w:t>Профилактика рисков причинения вреда</w:t>
        </w:r>
      </w:hyperlink>
      <w:r>
        <w:t xml:space="preserve">/Результаты </w:t>
      </w:r>
      <w:proofErr w:type="spellStart"/>
      <w:r>
        <w:lastRenderedPageBreak/>
        <w:t>самообследования</w:t>
      </w:r>
      <w:proofErr w:type="spellEnd"/>
      <w:r>
        <w:t xml:space="preserve"> уровня развития программы профилактики» (</w:t>
      </w:r>
      <w:r>
        <w:t>пункт 15 Плана-графика на 2021 год</w:t>
      </w:r>
      <w:r>
        <w:t>).</w:t>
      </w:r>
    </w:p>
    <w:p>
      <w:pPr>
        <w:pStyle w:val="20"/>
        <w:shd w:val="clear" w:color="auto" w:fill="auto"/>
        <w:spacing w:before="0"/>
        <w:ind w:firstLine="709"/>
      </w:pPr>
      <w:r>
        <w:rPr>
          <w:rFonts w:eastAsiaTheme="minorHAnsi"/>
          <w:lang w:eastAsia="en-US"/>
        </w:rPr>
        <w:t xml:space="preserve">Оценка эффективности и результативности </w:t>
      </w:r>
      <w:r>
        <w:t xml:space="preserve">профилактических мероприятий, включенных в </w:t>
      </w:r>
      <w:r>
        <w:rPr>
          <w:rFonts w:eastAsiaTheme="minorHAnsi"/>
          <w:lang w:eastAsia="en-US"/>
        </w:rPr>
        <w:t>Программу профилактики нарушений обязательных требований в сфере архивного дела на 2021 год и План-график на 2021 год, осуществлялась управлением ежеквартально посредством анализа выполнения плана профилактических мероприятий, направленных на предупреждение нарушений подконтрольными субъектами обязательных требований в сфере архивного дела, и отчётных показателей выполнения мероприятий Программы. И</w:t>
      </w:r>
      <w:hyperlink r:id="rId30" w:history="1">
        <w:r>
          <w:t>нформации о результатах выполнения мероприятий Программы профилактики нарушений обязательных требований в сфере архивного дела в 2021 году</w:t>
        </w:r>
      </w:hyperlink>
      <w:r>
        <w:t xml:space="preserve"> и Плана-графика на 2021 год </w:t>
      </w:r>
      <w:r>
        <w:rPr>
          <w:rFonts w:eastAsiaTheme="minorHAnsi"/>
          <w:lang w:eastAsia="en-US"/>
        </w:rPr>
        <w:t xml:space="preserve">размещены на официальном сайте управления в разделе </w:t>
      </w:r>
      <w:r>
        <w:t>«Деятельность/Контрольно-надзорная деятельность/</w:t>
      </w:r>
      <w:hyperlink r:id="rId31" w:history="1">
        <w:r>
          <w:t>Профилактика рисков причинения вреда</w:t>
        </w:r>
      </w:hyperlink>
      <w:r>
        <w:t>/Программа профилактики нарушений обязательных требований» (пункт 14 Плана-графика на 2021 год).</w:t>
      </w:r>
    </w:p>
    <w:p>
      <w:pPr>
        <w:pStyle w:val="20"/>
        <w:shd w:val="clear" w:color="auto" w:fill="auto"/>
        <w:spacing w:before="0"/>
        <w:ind w:firstLine="709"/>
      </w:pPr>
      <w:r>
        <w:t xml:space="preserve">В целях оценки эффективности и результативности </w:t>
      </w:r>
      <w:r>
        <w:rPr>
          <w:color w:val="auto"/>
        </w:rPr>
        <w:t xml:space="preserve">выполнения мероприятий </w:t>
      </w:r>
      <w:r>
        <w:rPr>
          <w:rFonts w:eastAsiaTheme="minorHAnsi"/>
          <w:lang w:eastAsia="en-US"/>
        </w:rPr>
        <w:t>Программы профилактики нарушений обязательных требований в сфере архивного дела на 2021 год</w:t>
      </w:r>
      <w:r>
        <w:rPr>
          <w:color w:val="auto"/>
        </w:rPr>
        <w:t xml:space="preserve"> приказом управления </w:t>
      </w:r>
      <w:r>
        <w:t>от 18.12.2020 № 127- од установлены следующие отчетные показатели:</w:t>
      </w:r>
    </w:p>
    <w:p>
      <w:pPr>
        <w:pStyle w:val="20"/>
        <w:shd w:val="clear" w:color="auto" w:fill="auto"/>
        <w:spacing w:before="0"/>
        <w:ind w:firstLine="709"/>
        <w:rPr>
          <w:sz w:val="24"/>
          <w:szCs w:val="24"/>
        </w:rPr>
      </w:pPr>
    </w:p>
    <w:tbl>
      <w:tblPr>
        <w:tblStyle w:val="a7"/>
        <w:tblW w:w="9493" w:type="dxa"/>
        <w:tblLayout w:type="fixed"/>
        <w:tblLook w:val="04A0" w:firstRow="1" w:lastRow="0" w:firstColumn="1" w:lastColumn="0" w:noHBand="0" w:noVBand="1"/>
      </w:tblPr>
      <w:tblGrid>
        <w:gridCol w:w="559"/>
        <w:gridCol w:w="4681"/>
        <w:gridCol w:w="1151"/>
        <w:gridCol w:w="1402"/>
        <w:gridCol w:w="1700"/>
      </w:tblGrid>
      <w:tr>
        <w:tc>
          <w:tcPr>
            <w:tcW w:w="559" w:type="dxa"/>
          </w:tcPr>
          <w:p>
            <w:pPr>
              <w:pStyle w:val="20"/>
              <w:shd w:val="clear" w:color="auto" w:fill="auto"/>
              <w:spacing w:before="0"/>
              <w:jc w:val="center"/>
              <w:rPr>
                <w:sz w:val="24"/>
                <w:szCs w:val="24"/>
              </w:rPr>
            </w:pPr>
            <w:r>
              <w:rPr>
                <w:sz w:val="24"/>
                <w:szCs w:val="24"/>
              </w:rPr>
              <w:t>№ п/п</w:t>
            </w:r>
          </w:p>
        </w:tc>
        <w:tc>
          <w:tcPr>
            <w:tcW w:w="4681" w:type="dxa"/>
          </w:tcPr>
          <w:p>
            <w:pPr>
              <w:pStyle w:val="20"/>
              <w:shd w:val="clear" w:color="auto" w:fill="auto"/>
              <w:spacing w:before="0"/>
              <w:jc w:val="center"/>
              <w:rPr>
                <w:sz w:val="24"/>
                <w:szCs w:val="24"/>
              </w:rPr>
            </w:pPr>
            <w:r>
              <w:rPr>
                <w:sz w:val="24"/>
                <w:szCs w:val="24"/>
              </w:rPr>
              <w:t>Наименование показателя</w:t>
            </w:r>
          </w:p>
        </w:tc>
        <w:tc>
          <w:tcPr>
            <w:tcW w:w="1151" w:type="dxa"/>
          </w:tcPr>
          <w:p>
            <w:pPr>
              <w:pStyle w:val="20"/>
              <w:shd w:val="clear" w:color="auto" w:fill="auto"/>
              <w:spacing w:before="0"/>
              <w:jc w:val="center"/>
              <w:rPr>
                <w:sz w:val="24"/>
                <w:szCs w:val="24"/>
              </w:rPr>
            </w:pPr>
            <w:r>
              <w:rPr>
                <w:sz w:val="24"/>
                <w:szCs w:val="24"/>
              </w:rPr>
              <w:t xml:space="preserve">Единица </w:t>
            </w:r>
            <w:proofErr w:type="spellStart"/>
            <w:proofErr w:type="gramStart"/>
            <w:r>
              <w:rPr>
                <w:sz w:val="24"/>
                <w:szCs w:val="24"/>
              </w:rPr>
              <w:t>измере-ния</w:t>
            </w:r>
            <w:proofErr w:type="spellEnd"/>
            <w:proofErr w:type="gramEnd"/>
          </w:p>
        </w:tc>
        <w:tc>
          <w:tcPr>
            <w:tcW w:w="1402" w:type="dxa"/>
          </w:tcPr>
          <w:p>
            <w:pPr>
              <w:pStyle w:val="20"/>
              <w:shd w:val="clear" w:color="auto" w:fill="auto"/>
              <w:spacing w:before="0"/>
              <w:jc w:val="center"/>
              <w:rPr>
                <w:sz w:val="24"/>
                <w:szCs w:val="24"/>
              </w:rPr>
            </w:pPr>
            <w:r>
              <w:rPr>
                <w:sz w:val="24"/>
                <w:szCs w:val="24"/>
              </w:rPr>
              <w:t>Значение показателя на 2021 год</w:t>
            </w:r>
          </w:p>
        </w:tc>
        <w:tc>
          <w:tcPr>
            <w:tcW w:w="1700" w:type="dxa"/>
          </w:tcPr>
          <w:p>
            <w:pPr>
              <w:pStyle w:val="20"/>
              <w:shd w:val="clear" w:color="auto" w:fill="auto"/>
              <w:spacing w:before="0"/>
              <w:jc w:val="center"/>
              <w:rPr>
                <w:sz w:val="24"/>
                <w:szCs w:val="24"/>
              </w:rPr>
            </w:pPr>
            <w:r>
              <w:rPr>
                <w:sz w:val="24"/>
                <w:szCs w:val="24"/>
              </w:rPr>
              <w:t>Фактическое значение показателя за 2021 год</w:t>
            </w:r>
          </w:p>
        </w:tc>
      </w:tr>
      <w:tr>
        <w:tc>
          <w:tcPr>
            <w:tcW w:w="559" w:type="dxa"/>
          </w:tcPr>
          <w:p>
            <w:pPr>
              <w:pStyle w:val="20"/>
              <w:shd w:val="clear" w:color="auto" w:fill="auto"/>
              <w:spacing w:before="0"/>
              <w:rPr>
                <w:sz w:val="24"/>
                <w:szCs w:val="24"/>
              </w:rPr>
            </w:pPr>
            <w:r>
              <w:rPr>
                <w:sz w:val="24"/>
                <w:szCs w:val="24"/>
              </w:rPr>
              <w:t>1.</w:t>
            </w:r>
          </w:p>
        </w:tc>
        <w:tc>
          <w:tcPr>
            <w:tcW w:w="4681" w:type="dxa"/>
          </w:tcPr>
          <w:p>
            <w:pPr>
              <w:jc w:val="both"/>
              <w:rPr>
                <w:sz w:val="24"/>
                <w:szCs w:val="24"/>
              </w:rPr>
            </w:pPr>
            <w:r>
              <w:rPr>
                <w:sz w:val="24"/>
                <w:szCs w:val="24"/>
              </w:rPr>
              <w:t>Наличие Положения о региональном государственном контроле за соблюдением законодательства Российской Федерации, законов и иных нормативных правовых актов Новосибирской области об архивном деле, устанавливающего порядок его организации и осуществления</w:t>
            </w:r>
          </w:p>
        </w:tc>
        <w:tc>
          <w:tcPr>
            <w:tcW w:w="1151" w:type="dxa"/>
          </w:tcPr>
          <w:p>
            <w:pPr>
              <w:jc w:val="center"/>
              <w:rPr>
                <w:sz w:val="24"/>
                <w:szCs w:val="24"/>
              </w:rPr>
            </w:pPr>
            <w:proofErr w:type="gramStart"/>
            <w:r>
              <w:rPr>
                <w:sz w:val="24"/>
                <w:szCs w:val="24"/>
              </w:rPr>
              <w:t>доку-мент</w:t>
            </w:r>
            <w:proofErr w:type="gramEnd"/>
          </w:p>
        </w:tc>
        <w:tc>
          <w:tcPr>
            <w:tcW w:w="1402" w:type="dxa"/>
          </w:tcPr>
          <w:p>
            <w:pPr>
              <w:jc w:val="center"/>
              <w:rPr>
                <w:sz w:val="24"/>
                <w:szCs w:val="24"/>
              </w:rPr>
            </w:pPr>
            <w:r>
              <w:rPr>
                <w:sz w:val="24"/>
                <w:szCs w:val="24"/>
              </w:rPr>
              <w:t>1</w:t>
            </w:r>
          </w:p>
        </w:tc>
        <w:tc>
          <w:tcPr>
            <w:tcW w:w="1700" w:type="dxa"/>
          </w:tcPr>
          <w:p>
            <w:pPr>
              <w:pStyle w:val="20"/>
              <w:shd w:val="clear" w:color="auto" w:fill="auto"/>
              <w:spacing w:before="0"/>
              <w:jc w:val="center"/>
              <w:rPr>
                <w:sz w:val="24"/>
                <w:szCs w:val="24"/>
              </w:rPr>
            </w:pPr>
            <w:r>
              <w:rPr>
                <w:sz w:val="24"/>
                <w:szCs w:val="24"/>
              </w:rPr>
              <w:t>1</w:t>
            </w:r>
          </w:p>
        </w:tc>
      </w:tr>
      <w:tr>
        <w:tc>
          <w:tcPr>
            <w:tcW w:w="559" w:type="dxa"/>
          </w:tcPr>
          <w:p>
            <w:pPr>
              <w:pStyle w:val="20"/>
              <w:shd w:val="clear" w:color="auto" w:fill="auto"/>
              <w:spacing w:before="0"/>
              <w:rPr>
                <w:sz w:val="24"/>
                <w:szCs w:val="24"/>
              </w:rPr>
            </w:pPr>
            <w:r>
              <w:rPr>
                <w:sz w:val="24"/>
                <w:szCs w:val="24"/>
              </w:rPr>
              <w:t>2.</w:t>
            </w:r>
          </w:p>
        </w:tc>
        <w:tc>
          <w:tcPr>
            <w:tcW w:w="4681" w:type="dxa"/>
          </w:tcPr>
          <w:p>
            <w:pPr>
              <w:jc w:val="both"/>
              <w:rPr>
                <w:sz w:val="24"/>
                <w:szCs w:val="24"/>
              </w:rPr>
            </w:pPr>
            <w:r>
              <w:rPr>
                <w:sz w:val="24"/>
                <w:szCs w:val="24"/>
              </w:rPr>
              <w:t xml:space="preserve">Актуальное состояние на официальном сайте контрольного органа перечня актов, содержащих обязательные требования, соблюдение которых оценивается при проведении мероприятий по региональному государственному контролю за соблюдением законодательства об архивном деле, а также </w:t>
            </w:r>
            <w:proofErr w:type="gramStart"/>
            <w:r>
              <w:rPr>
                <w:sz w:val="24"/>
                <w:szCs w:val="24"/>
              </w:rPr>
              <w:t>текстов</w:t>
            </w:r>
            <w:proofErr w:type="gramEnd"/>
            <w:r>
              <w:rPr>
                <w:sz w:val="24"/>
                <w:szCs w:val="24"/>
              </w:rPr>
              <w:t xml:space="preserve"> соответствующих нормативных правовых актов</w:t>
            </w:r>
          </w:p>
        </w:tc>
        <w:tc>
          <w:tcPr>
            <w:tcW w:w="1151" w:type="dxa"/>
          </w:tcPr>
          <w:p>
            <w:pPr>
              <w:jc w:val="center"/>
              <w:rPr>
                <w:sz w:val="24"/>
                <w:szCs w:val="24"/>
              </w:rPr>
            </w:pPr>
            <w:r>
              <w:rPr>
                <w:sz w:val="24"/>
                <w:szCs w:val="24"/>
              </w:rPr>
              <w:t>процент</w:t>
            </w:r>
          </w:p>
        </w:tc>
        <w:tc>
          <w:tcPr>
            <w:tcW w:w="1402" w:type="dxa"/>
          </w:tcPr>
          <w:p>
            <w:pPr>
              <w:jc w:val="center"/>
              <w:rPr>
                <w:sz w:val="24"/>
                <w:szCs w:val="24"/>
              </w:rPr>
            </w:pPr>
            <w:r>
              <w:rPr>
                <w:sz w:val="24"/>
                <w:szCs w:val="24"/>
              </w:rPr>
              <w:t>100</w:t>
            </w:r>
          </w:p>
        </w:tc>
        <w:tc>
          <w:tcPr>
            <w:tcW w:w="1700" w:type="dxa"/>
          </w:tcPr>
          <w:p>
            <w:pPr>
              <w:pStyle w:val="20"/>
              <w:shd w:val="clear" w:color="auto" w:fill="auto"/>
              <w:spacing w:before="0"/>
              <w:jc w:val="center"/>
              <w:rPr>
                <w:sz w:val="24"/>
                <w:szCs w:val="24"/>
              </w:rPr>
            </w:pPr>
            <w:r>
              <w:rPr>
                <w:sz w:val="24"/>
                <w:szCs w:val="24"/>
              </w:rPr>
              <w:t>100</w:t>
            </w:r>
          </w:p>
        </w:tc>
      </w:tr>
      <w:tr>
        <w:tc>
          <w:tcPr>
            <w:tcW w:w="559" w:type="dxa"/>
          </w:tcPr>
          <w:p>
            <w:pPr>
              <w:pStyle w:val="20"/>
              <w:shd w:val="clear" w:color="auto" w:fill="auto"/>
              <w:spacing w:before="0"/>
              <w:rPr>
                <w:sz w:val="24"/>
                <w:szCs w:val="24"/>
              </w:rPr>
            </w:pPr>
            <w:r>
              <w:rPr>
                <w:sz w:val="24"/>
                <w:szCs w:val="24"/>
              </w:rPr>
              <w:t>3.</w:t>
            </w:r>
          </w:p>
        </w:tc>
        <w:tc>
          <w:tcPr>
            <w:tcW w:w="4681" w:type="dxa"/>
          </w:tcPr>
          <w:p>
            <w:pPr>
              <w:autoSpaceDE w:val="0"/>
              <w:autoSpaceDN w:val="0"/>
              <w:adjustRightInd w:val="0"/>
              <w:jc w:val="both"/>
              <w:rPr>
                <w:sz w:val="24"/>
                <w:szCs w:val="24"/>
              </w:rPr>
            </w:pPr>
            <w:r>
              <w:rPr>
                <w:rFonts w:eastAsia="Calibri"/>
                <w:sz w:val="24"/>
                <w:szCs w:val="24"/>
              </w:rPr>
              <w:t xml:space="preserve">Разъяснение при проведении мероприятий по региональному государственному контролю за соблюдением законодательства об архивном деле подконтрольным субъектам обязательных требований в сфере архивного дела, а также порядка проведения контрольного </w:t>
            </w:r>
            <w:r>
              <w:rPr>
                <w:rFonts w:eastAsia="Calibri"/>
                <w:sz w:val="24"/>
                <w:szCs w:val="24"/>
              </w:rPr>
              <w:lastRenderedPageBreak/>
              <w:t>мероприятия, прав и обязанностей подконтрольных субъектов и должностных лиц управления</w:t>
            </w:r>
          </w:p>
        </w:tc>
        <w:tc>
          <w:tcPr>
            <w:tcW w:w="1151" w:type="dxa"/>
          </w:tcPr>
          <w:p>
            <w:pPr>
              <w:autoSpaceDE w:val="0"/>
              <w:autoSpaceDN w:val="0"/>
              <w:adjustRightInd w:val="0"/>
              <w:jc w:val="center"/>
              <w:rPr>
                <w:rFonts w:eastAsia="Calibri"/>
                <w:sz w:val="24"/>
                <w:szCs w:val="24"/>
              </w:rPr>
            </w:pPr>
            <w:r>
              <w:rPr>
                <w:rFonts w:eastAsia="Calibri"/>
                <w:sz w:val="24"/>
                <w:szCs w:val="24"/>
              </w:rPr>
              <w:lastRenderedPageBreak/>
              <w:t>процент</w:t>
            </w:r>
          </w:p>
        </w:tc>
        <w:tc>
          <w:tcPr>
            <w:tcW w:w="1402" w:type="dxa"/>
          </w:tcPr>
          <w:p>
            <w:pPr>
              <w:jc w:val="center"/>
              <w:rPr>
                <w:sz w:val="24"/>
                <w:szCs w:val="24"/>
              </w:rPr>
            </w:pPr>
            <w:r>
              <w:rPr>
                <w:sz w:val="24"/>
                <w:szCs w:val="24"/>
              </w:rPr>
              <w:t>100</w:t>
            </w:r>
          </w:p>
        </w:tc>
        <w:tc>
          <w:tcPr>
            <w:tcW w:w="1700" w:type="dxa"/>
          </w:tcPr>
          <w:p>
            <w:pPr>
              <w:pStyle w:val="20"/>
              <w:shd w:val="clear" w:color="auto" w:fill="auto"/>
              <w:spacing w:before="0"/>
              <w:jc w:val="center"/>
              <w:rPr>
                <w:sz w:val="24"/>
                <w:szCs w:val="24"/>
              </w:rPr>
            </w:pPr>
            <w:r>
              <w:rPr>
                <w:sz w:val="24"/>
                <w:szCs w:val="24"/>
              </w:rPr>
              <w:t>100</w:t>
            </w:r>
          </w:p>
        </w:tc>
      </w:tr>
      <w:tr>
        <w:tc>
          <w:tcPr>
            <w:tcW w:w="559" w:type="dxa"/>
          </w:tcPr>
          <w:p>
            <w:pPr>
              <w:pStyle w:val="20"/>
              <w:shd w:val="clear" w:color="auto" w:fill="auto"/>
              <w:spacing w:before="0"/>
              <w:rPr>
                <w:sz w:val="24"/>
                <w:szCs w:val="24"/>
              </w:rPr>
            </w:pPr>
            <w:r>
              <w:rPr>
                <w:sz w:val="24"/>
                <w:szCs w:val="24"/>
              </w:rPr>
              <w:t>4.</w:t>
            </w:r>
          </w:p>
        </w:tc>
        <w:tc>
          <w:tcPr>
            <w:tcW w:w="4681" w:type="dxa"/>
          </w:tcPr>
          <w:p>
            <w:pPr>
              <w:autoSpaceDE w:val="0"/>
              <w:autoSpaceDN w:val="0"/>
              <w:adjustRightInd w:val="0"/>
              <w:jc w:val="both"/>
              <w:rPr>
                <w:sz w:val="24"/>
                <w:szCs w:val="24"/>
              </w:rPr>
            </w:pPr>
            <w:r>
              <w:rPr>
                <w:rFonts w:eastAsia="Calibri"/>
                <w:sz w:val="24"/>
                <w:szCs w:val="24"/>
              </w:rPr>
              <w:t>Количество публичных мероприятий п</w:t>
            </w:r>
            <w:r>
              <w:rPr>
                <w:sz w:val="24"/>
                <w:szCs w:val="24"/>
              </w:rPr>
              <w:t>о обсуждению результатов правоприменительной практики</w:t>
            </w:r>
          </w:p>
        </w:tc>
        <w:tc>
          <w:tcPr>
            <w:tcW w:w="1151" w:type="dxa"/>
          </w:tcPr>
          <w:p>
            <w:pPr>
              <w:jc w:val="center"/>
              <w:rPr>
                <w:sz w:val="24"/>
                <w:szCs w:val="24"/>
              </w:rPr>
            </w:pPr>
            <w:proofErr w:type="spellStart"/>
            <w:proofErr w:type="gramStart"/>
            <w:r>
              <w:rPr>
                <w:sz w:val="24"/>
                <w:szCs w:val="24"/>
              </w:rPr>
              <w:t>меро</w:t>
            </w:r>
            <w:proofErr w:type="spellEnd"/>
            <w:r>
              <w:rPr>
                <w:sz w:val="24"/>
                <w:szCs w:val="24"/>
              </w:rPr>
              <w:t>-приятие</w:t>
            </w:r>
            <w:proofErr w:type="gramEnd"/>
          </w:p>
        </w:tc>
        <w:tc>
          <w:tcPr>
            <w:tcW w:w="1402" w:type="dxa"/>
          </w:tcPr>
          <w:p>
            <w:pPr>
              <w:jc w:val="center"/>
              <w:rPr>
                <w:sz w:val="24"/>
                <w:szCs w:val="24"/>
              </w:rPr>
            </w:pPr>
            <w:r>
              <w:rPr>
                <w:sz w:val="24"/>
                <w:szCs w:val="24"/>
              </w:rPr>
              <w:t>4</w:t>
            </w:r>
          </w:p>
        </w:tc>
        <w:tc>
          <w:tcPr>
            <w:tcW w:w="1700" w:type="dxa"/>
          </w:tcPr>
          <w:p>
            <w:pPr>
              <w:pStyle w:val="20"/>
              <w:shd w:val="clear" w:color="auto" w:fill="auto"/>
              <w:spacing w:before="0"/>
              <w:jc w:val="center"/>
              <w:rPr>
                <w:sz w:val="24"/>
                <w:szCs w:val="24"/>
              </w:rPr>
            </w:pPr>
            <w:r>
              <w:rPr>
                <w:sz w:val="24"/>
                <w:szCs w:val="24"/>
              </w:rPr>
              <w:t>4</w:t>
            </w:r>
          </w:p>
        </w:tc>
      </w:tr>
      <w:tr>
        <w:tc>
          <w:tcPr>
            <w:tcW w:w="559" w:type="dxa"/>
          </w:tcPr>
          <w:p>
            <w:pPr>
              <w:pStyle w:val="20"/>
              <w:shd w:val="clear" w:color="auto" w:fill="auto"/>
              <w:spacing w:before="0"/>
              <w:rPr>
                <w:sz w:val="24"/>
                <w:szCs w:val="24"/>
              </w:rPr>
            </w:pPr>
            <w:r>
              <w:rPr>
                <w:sz w:val="24"/>
                <w:szCs w:val="24"/>
              </w:rPr>
              <w:t>5.</w:t>
            </w:r>
          </w:p>
        </w:tc>
        <w:tc>
          <w:tcPr>
            <w:tcW w:w="4681" w:type="dxa"/>
          </w:tcPr>
          <w:p>
            <w:pPr>
              <w:autoSpaceDE w:val="0"/>
              <w:autoSpaceDN w:val="0"/>
              <w:adjustRightInd w:val="0"/>
              <w:jc w:val="both"/>
              <w:rPr>
                <w:sz w:val="24"/>
                <w:szCs w:val="24"/>
              </w:rPr>
            </w:pPr>
            <w:r>
              <w:rPr>
                <w:rFonts w:eastAsia="Calibri"/>
                <w:sz w:val="24"/>
                <w:szCs w:val="24"/>
              </w:rPr>
              <w:t>Наличие на официальном сайте контрольного органа размещенного обобщения практики осуществления регионального государственного контроля за соблюдением законодательства об архивном деле, содержащего наиболее часто встречающиеся случаи нарушения обязательных требований в сфере архивного дела и рекомендации в отношении мер, которые должны приниматься подконтрольными субъектами в целях недопущения таких нарушений</w:t>
            </w:r>
          </w:p>
        </w:tc>
        <w:tc>
          <w:tcPr>
            <w:tcW w:w="1151" w:type="dxa"/>
          </w:tcPr>
          <w:p>
            <w:pPr>
              <w:jc w:val="center"/>
              <w:rPr>
                <w:sz w:val="24"/>
                <w:szCs w:val="24"/>
              </w:rPr>
            </w:pPr>
            <w:proofErr w:type="gramStart"/>
            <w:r>
              <w:rPr>
                <w:sz w:val="24"/>
                <w:szCs w:val="24"/>
              </w:rPr>
              <w:t>доку-мент</w:t>
            </w:r>
            <w:proofErr w:type="gramEnd"/>
          </w:p>
        </w:tc>
        <w:tc>
          <w:tcPr>
            <w:tcW w:w="1402" w:type="dxa"/>
          </w:tcPr>
          <w:p>
            <w:pPr>
              <w:jc w:val="center"/>
              <w:rPr>
                <w:sz w:val="24"/>
                <w:szCs w:val="24"/>
              </w:rPr>
            </w:pPr>
            <w:r>
              <w:rPr>
                <w:sz w:val="24"/>
                <w:szCs w:val="24"/>
              </w:rPr>
              <w:t>1</w:t>
            </w:r>
          </w:p>
        </w:tc>
        <w:tc>
          <w:tcPr>
            <w:tcW w:w="1700" w:type="dxa"/>
          </w:tcPr>
          <w:p>
            <w:pPr>
              <w:pStyle w:val="20"/>
              <w:shd w:val="clear" w:color="auto" w:fill="auto"/>
              <w:spacing w:before="0"/>
              <w:jc w:val="center"/>
              <w:rPr>
                <w:sz w:val="24"/>
                <w:szCs w:val="24"/>
              </w:rPr>
            </w:pPr>
            <w:r>
              <w:rPr>
                <w:sz w:val="24"/>
                <w:szCs w:val="24"/>
              </w:rPr>
              <w:t>1</w:t>
            </w:r>
          </w:p>
        </w:tc>
      </w:tr>
      <w:tr>
        <w:tc>
          <w:tcPr>
            <w:tcW w:w="559" w:type="dxa"/>
          </w:tcPr>
          <w:p>
            <w:pPr>
              <w:pStyle w:val="20"/>
              <w:shd w:val="clear" w:color="auto" w:fill="auto"/>
              <w:spacing w:before="0"/>
              <w:rPr>
                <w:sz w:val="24"/>
                <w:szCs w:val="24"/>
              </w:rPr>
            </w:pPr>
            <w:r>
              <w:rPr>
                <w:sz w:val="24"/>
                <w:szCs w:val="24"/>
              </w:rPr>
              <w:t>6.</w:t>
            </w:r>
          </w:p>
        </w:tc>
        <w:tc>
          <w:tcPr>
            <w:tcW w:w="4681" w:type="dxa"/>
          </w:tcPr>
          <w:p>
            <w:pPr>
              <w:jc w:val="both"/>
              <w:rPr>
                <w:rFonts w:eastAsia="Calibri"/>
                <w:sz w:val="24"/>
                <w:szCs w:val="24"/>
              </w:rPr>
            </w:pPr>
            <w:r>
              <w:rPr>
                <w:rFonts w:eastAsia="Calibri"/>
                <w:sz w:val="24"/>
                <w:szCs w:val="24"/>
              </w:rPr>
              <w:t>Наличие своевременно размещенного на официальном сайте контрольного органа плана проведения плановых проверок юридических лиц, индивидуальных предпринимателей на год</w:t>
            </w:r>
          </w:p>
        </w:tc>
        <w:tc>
          <w:tcPr>
            <w:tcW w:w="1151" w:type="dxa"/>
          </w:tcPr>
          <w:p>
            <w:pPr>
              <w:jc w:val="center"/>
              <w:rPr>
                <w:sz w:val="24"/>
                <w:szCs w:val="24"/>
              </w:rPr>
            </w:pPr>
            <w:proofErr w:type="gramStart"/>
            <w:r>
              <w:rPr>
                <w:sz w:val="24"/>
                <w:szCs w:val="24"/>
              </w:rPr>
              <w:t>доку-мент</w:t>
            </w:r>
            <w:proofErr w:type="gramEnd"/>
          </w:p>
        </w:tc>
        <w:tc>
          <w:tcPr>
            <w:tcW w:w="1402" w:type="dxa"/>
          </w:tcPr>
          <w:p>
            <w:pPr>
              <w:jc w:val="center"/>
              <w:rPr>
                <w:sz w:val="24"/>
                <w:szCs w:val="24"/>
              </w:rPr>
            </w:pPr>
            <w:r>
              <w:rPr>
                <w:sz w:val="24"/>
                <w:szCs w:val="24"/>
              </w:rPr>
              <w:t>1</w:t>
            </w:r>
          </w:p>
        </w:tc>
        <w:tc>
          <w:tcPr>
            <w:tcW w:w="1700" w:type="dxa"/>
          </w:tcPr>
          <w:p>
            <w:pPr>
              <w:pStyle w:val="20"/>
              <w:shd w:val="clear" w:color="auto" w:fill="auto"/>
              <w:spacing w:before="0"/>
              <w:jc w:val="center"/>
              <w:rPr>
                <w:sz w:val="24"/>
                <w:szCs w:val="24"/>
              </w:rPr>
            </w:pPr>
            <w:r>
              <w:rPr>
                <w:sz w:val="24"/>
                <w:szCs w:val="24"/>
              </w:rPr>
              <w:t>1</w:t>
            </w:r>
          </w:p>
        </w:tc>
      </w:tr>
      <w:tr>
        <w:tc>
          <w:tcPr>
            <w:tcW w:w="559" w:type="dxa"/>
          </w:tcPr>
          <w:p>
            <w:pPr>
              <w:pStyle w:val="20"/>
              <w:shd w:val="clear" w:color="auto" w:fill="auto"/>
              <w:spacing w:before="0"/>
              <w:rPr>
                <w:sz w:val="24"/>
                <w:szCs w:val="24"/>
              </w:rPr>
            </w:pPr>
            <w:r>
              <w:rPr>
                <w:sz w:val="24"/>
                <w:szCs w:val="24"/>
              </w:rPr>
              <w:t>7.</w:t>
            </w:r>
          </w:p>
        </w:tc>
        <w:tc>
          <w:tcPr>
            <w:tcW w:w="4681" w:type="dxa"/>
          </w:tcPr>
          <w:p>
            <w:pPr>
              <w:jc w:val="both"/>
              <w:rPr>
                <w:rFonts w:eastAsia="Calibri"/>
                <w:b/>
                <w:sz w:val="24"/>
                <w:szCs w:val="24"/>
              </w:rPr>
            </w:pPr>
            <w:r>
              <w:rPr>
                <w:rFonts w:eastAsia="Calibri"/>
                <w:sz w:val="24"/>
                <w:szCs w:val="24"/>
              </w:rPr>
              <w:t>Наличие на официальном сайте контрольного органа по результатам проведённых проверок информаций о соблюдении обязательных требований в сфере архивного дела, о применении мер административного воздействия к подконтрольным субъектам, нарушившим обязательные требования в сфере архивного дела</w:t>
            </w:r>
          </w:p>
        </w:tc>
        <w:tc>
          <w:tcPr>
            <w:tcW w:w="1151" w:type="dxa"/>
          </w:tcPr>
          <w:p>
            <w:pPr>
              <w:jc w:val="center"/>
              <w:rPr>
                <w:sz w:val="24"/>
                <w:szCs w:val="24"/>
              </w:rPr>
            </w:pPr>
            <w:r>
              <w:rPr>
                <w:sz w:val="24"/>
                <w:szCs w:val="24"/>
              </w:rPr>
              <w:t>процент</w:t>
            </w:r>
          </w:p>
        </w:tc>
        <w:tc>
          <w:tcPr>
            <w:tcW w:w="1402" w:type="dxa"/>
          </w:tcPr>
          <w:p>
            <w:pPr>
              <w:jc w:val="center"/>
              <w:rPr>
                <w:sz w:val="24"/>
                <w:szCs w:val="24"/>
              </w:rPr>
            </w:pPr>
            <w:r>
              <w:rPr>
                <w:sz w:val="24"/>
                <w:szCs w:val="24"/>
              </w:rPr>
              <w:t>100</w:t>
            </w:r>
          </w:p>
        </w:tc>
        <w:tc>
          <w:tcPr>
            <w:tcW w:w="1700" w:type="dxa"/>
          </w:tcPr>
          <w:p>
            <w:pPr>
              <w:pStyle w:val="20"/>
              <w:shd w:val="clear" w:color="auto" w:fill="auto"/>
              <w:spacing w:before="0"/>
              <w:jc w:val="center"/>
              <w:rPr>
                <w:sz w:val="24"/>
                <w:szCs w:val="24"/>
              </w:rPr>
            </w:pPr>
            <w:r>
              <w:rPr>
                <w:sz w:val="24"/>
                <w:szCs w:val="24"/>
              </w:rPr>
              <w:t>100</w:t>
            </w:r>
          </w:p>
        </w:tc>
      </w:tr>
      <w:tr>
        <w:tc>
          <w:tcPr>
            <w:tcW w:w="559" w:type="dxa"/>
          </w:tcPr>
          <w:p>
            <w:pPr>
              <w:pStyle w:val="20"/>
              <w:shd w:val="clear" w:color="auto" w:fill="auto"/>
              <w:spacing w:before="0"/>
              <w:rPr>
                <w:sz w:val="24"/>
                <w:szCs w:val="24"/>
              </w:rPr>
            </w:pPr>
            <w:r>
              <w:rPr>
                <w:sz w:val="24"/>
                <w:szCs w:val="24"/>
              </w:rPr>
              <w:t>8.</w:t>
            </w:r>
          </w:p>
        </w:tc>
        <w:tc>
          <w:tcPr>
            <w:tcW w:w="4681" w:type="dxa"/>
          </w:tcPr>
          <w:p>
            <w:pPr>
              <w:jc w:val="both"/>
              <w:rPr>
                <w:rFonts w:eastAsia="Calibri"/>
                <w:sz w:val="24"/>
                <w:szCs w:val="24"/>
              </w:rPr>
            </w:pPr>
            <w:r>
              <w:rPr>
                <w:rFonts w:eastAsia="Calibri"/>
                <w:sz w:val="24"/>
                <w:szCs w:val="24"/>
              </w:rPr>
              <w:t>Наличие размещенного на официальном сайте контрольного органа доклада (отчета) об итогах профилактической работы, проведенной управлением</w:t>
            </w:r>
          </w:p>
        </w:tc>
        <w:tc>
          <w:tcPr>
            <w:tcW w:w="1151" w:type="dxa"/>
          </w:tcPr>
          <w:p>
            <w:pPr>
              <w:jc w:val="center"/>
              <w:rPr>
                <w:sz w:val="24"/>
                <w:szCs w:val="24"/>
              </w:rPr>
            </w:pPr>
            <w:proofErr w:type="gramStart"/>
            <w:r>
              <w:rPr>
                <w:sz w:val="24"/>
                <w:szCs w:val="24"/>
              </w:rPr>
              <w:t>доку-мент</w:t>
            </w:r>
            <w:proofErr w:type="gramEnd"/>
          </w:p>
        </w:tc>
        <w:tc>
          <w:tcPr>
            <w:tcW w:w="1402" w:type="dxa"/>
          </w:tcPr>
          <w:p>
            <w:pPr>
              <w:jc w:val="center"/>
              <w:rPr>
                <w:sz w:val="24"/>
                <w:szCs w:val="24"/>
              </w:rPr>
            </w:pPr>
            <w:r>
              <w:rPr>
                <w:sz w:val="24"/>
                <w:szCs w:val="24"/>
              </w:rPr>
              <w:t>1</w:t>
            </w:r>
          </w:p>
        </w:tc>
        <w:tc>
          <w:tcPr>
            <w:tcW w:w="1700" w:type="dxa"/>
          </w:tcPr>
          <w:p>
            <w:pPr>
              <w:pStyle w:val="20"/>
              <w:shd w:val="clear" w:color="auto" w:fill="auto"/>
              <w:spacing w:before="0"/>
              <w:jc w:val="center"/>
              <w:rPr>
                <w:sz w:val="24"/>
                <w:szCs w:val="24"/>
              </w:rPr>
            </w:pPr>
            <w:r>
              <w:rPr>
                <w:sz w:val="24"/>
                <w:szCs w:val="24"/>
              </w:rPr>
              <w:t>1</w:t>
            </w:r>
          </w:p>
        </w:tc>
      </w:tr>
      <w:tr>
        <w:tc>
          <w:tcPr>
            <w:tcW w:w="559" w:type="dxa"/>
          </w:tcPr>
          <w:p>
            <w:pPr>
              <w:pStyle w:val="20"/>
              <w:shd w:val="clear" w:color="auto" w:fill="auto"/>
              <w:spacing w:before="0"/>
              <w:rPr>
                <w:sz w:val="24"/>
                <w:szCs w:val="24"/>
              </w:rPr>
            </w:pPr>
            <w:r>
              <w:rPr>
                <w:sz w:val="24"/>
                <w:szCs w:val="24"/>
              </w:rPr>
              <w:t>9.</w:t>
            </w:r>
          </w:p>
        </w:tc>
        <w:tc>
          <w:tcPr>
            <w:tcW w:w="4681" w:type="dxa"/>
          </w:tcPr>
          <w:p>
            <w:pPr>
              <w:jc w:val="both"/>
              <w:rPr>
                <w:sz w:val="24"/>
                <w:szCs w:val="24"/>
              </w:rPr>
            </w:pPr>
            <w:r>
              <w:rPr>
                <w:sz w:val="24"/>
                <w:szCs w:val="24"/>
              </w:rPr>
              <w:t>Наличие утвержденной Программы профилактики нарушений обязательных требований в сфере архивного дела, проверяемых управлением государственной архивной службы Новосибирской области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 на 2022 год и плановый период 2023–2024 годы</w:t>
            </w:r>
          </w:p>
        </w:tc>
        <w:tc>
          <w:tcPr>
            <w:tcW w:w="1151" w:type="dxa"/>
          </w:tcPr>
          <w:p>
            <w:pPr>
              <w:jc w:val="center"/>
              <w:rPr>
                <w:sz w:val="24"/>
                <w:szCs w:val="24"/>
              </w:rPr>
            </w:pPr>
            <w:proofErr w:type="gramStart"/>
            <w:r>
              <w:rPr>
                <w:sz w:val="24"/>
                <w:szCs w:val="24"/>
              </w:rPr>
              <w:t>доку-мент</w:t>
            </w:r>
            <w:proofErr w:type="gramEnd"/>
          </w:p>
        </w:tc>
        <w:tc>
          <w:tcPr>
            <w:tcW w:w="1402" w:type="dxa"/>
          </w:tcPr>
          <w:p>
            <w:pPr>
              <w:jc w:val="center"/>
              <w:rPr>
                <w:sz w:val="24"/>
                <w:szCs w:val="24"/>
              </w:rPr>
            </w:pPr>
            <w:r>
              <w:rPr>
                <w:sz w:val="24"/>
                <w:szCs w:val="24"/>
              </w:rPr>
              <w:t>1</w:t>
            </w:r>
          </w:p>
        </w:tc>
        <w:tc>
          <w:tcPr>
            <w:tcW w:w="1700" w:type="dxa"/>
          </w:tcPr>
          <w:p>
            <w:pPr>
              <w:pStyle w:val="20"/>
              <w:shd w:val="clear" w:color="auto" w:fill="auto"/>
              <w:spacing w:before="0"/>
              <w:jc w:val="center"/>
              <w:rPr>
                <w:sz w:val="24"/>
                <w:szCs w:val="24"/>
              </w:rPr>
            </w:pPr>
            <w:r>
              <w:rPr>
                <w:sz w:val="24"/>
                <w:szCs w:val="24"/>
              </w:rPr>
              <w:t>1</w:t>
            </w:r>
          </w:p>
        </w:tc>
      </w:tr>
    </w:tbl>
    <w:p>
      <w:pPr>
        <w:pStyle w:val="20"/>
        <w:shd w:val="clear" w:color="auto" w:fill="auto"/>
        <w:tabs>
          <w:tab w:val="left" w:pos="1150"/>
        </w:tabs>
        <w:spacing w:before="0"/>
        <w:ind w:firstLine="709"/>
      </w:pPr>
      <w:r>
        <w:t xml:space="preserve">Таким образом, все </w:t>
      </w:r>
      <w:r>
        <w:t xml:space="preserve">установленные отчетные показатели </w:t>
      </w:r>
      <w:r>
        <w:t xml:space="preserve">оценки эффективности и результативности </w:t>
      </w:r>
      <w:r>
        <w:rPr>
          <w:color w:val="auto"/>
        </w:rPr>
        <w:t xml:space="preserve">выполнения мероприятий </w:t>
      </w:r>
      <w:r>
        <w:rPr>
          <w:rFonts w:eastAsiaTheme="minorHAnsi"/>
          <w:lang w:eastAsia="en-US"/>
        </w:rPr>
        <w:t xml:space="preserve">Программы </w:t>
      </w:r>
      <w:r>
        <w:rPr>
          <w:rFonts w:eastAsiaTheme="minorHAnsi"/>
          <w:lang w:eastAsia="en-US"/>
        </w:rPr>
        <w:lastRenderedPageBreak/>
        <w:t>профилактики нарушений обязательных требований в сфере архивного дела на 2021 год</w:t>
      </w:r>
      <w:r>
        <w:rPr>
          <w:color w:val="auto"/>
        </w:rPr>
        <w:t xml:space="preserve"> </w:t>
      </w:r>
      <w:r>
        <w:t>достигнуты.</w:t>
      </w:r>
    </w:p>
    <w:p>
      <w:pPr>
        <w:pStyle w:val="20"/>
        <w:shd w:val="clear" w:color="auto" w:fill="auto"/>
        <w:tabs>
          <w:tab w:val="left" w:pos="1150"/>
        </w:tabs>
        <w:spacing w:before="0"/>
        <w:ind w:firstLine="709"/>
      </w:pPr>
      <w:r>
        <w:t xml:space="preserve">Мероприятия, включенные в План-график на 2021 год </w:t>
      </w:r>
      <w:r>
        <w:t xml:space="preserve">(21 позиция) </w:t>
      </w:r>
      <w:r>
        <w:t>и направленные на предупреждение нарушений юридическими лицами и индивидуальными предпринимателями обязательных требований законодательства об архивном деле, исполнены управлением в полном объеме.</w:t>
      </w:r>
    </w:p>
    <w:p>
      <w:pPr>
        <w:pStyle w:val="20"/>
        <w:shd w:val="clear" w:color="auto" w:fill="auto"/>
        <w:tabs>
          <w:tab w:val="left" w:pos="1150"/>
        </w:tabs>
        <w:spacing w:before="0"/>
        <w:ind w:firstLine="709"/>
        <w:rPr>
          <w:rFonts w:eastAsiaTheme="minorHAnsi"/>
          <w:lang w:eastAsia="en-US"/>
        </w:rPr>
      </w:pPr>
      <w:r>
        <w:rPr>
          <w:rFonts w:eastAsiaTheme="minorHAnsi"/>
          <w:lang w:eastAsia="en-US"/>
        </w:rPr>
        <w:t>Д</w:t>
      </w:r>
      <w:r>
        <w:rPr>
          <w:rFonts w:eastAsiaTheme="minorHAnsi"/>
          <w:lang w:eastAsia="en-US"/>
        </w:rPr>
        <w:t xml:space="preserve">оля выполнения утвержденного </w:t>
      </w:r>
      <w:r>
        <w:rPr>
          <w:rFonts w:eastAsiaTheme="minorHAnsi"/>
          <w:lang w:eastAsia="en-US"/>
        </w:rPr>
        <w:t xml:space="preserve">Плана-графика на 2021 год и Программы </w:t>
      </w:r>
      <w:r>
        <w:rPr>
          <w:rFonts w:eastAsiaTheme="minorHAnsi"/>
          <w:lang w:eastAsia="en-US"/>
        </w:rPr>
        <w:t>профилактики нарушений обязательных требований в сфере архивного дела на 2021 год</w:t>
      </w:r>
      <w:r>
        <w:rPr>
          <w:rFonts w:eastAsiaTheme="minorHAnsi"/>
          <w:lang w:eastAsia="en-US"/>
        </w:rPr>
        <w:t xml:space="preserve"> составила 100%.</w:t>
      </w:r>
    </w:p>
    <w:p>
      <w:pPr>
        <w:pStyle w:val="20"/>
        <w:shd w:val="clear" w:color="auto" w:fill="auto"/>
        <w:tabs>
          <w:tab w:val="left" w:pos="1150"/>
        </w:tabs>
        <w:spacing w:before="0"/>
        <w:ind w:firstLine="709"/>
      </w:pPr>
      <w:r>
        <w:t>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плана проведения плановых проверок юридических лиц и индивидуальных предпринимателей на 2020 год плановые проверки в период с апреля по декабрь включительно были исключены, предписания об устранении выявленных нарушений обязательных требований законодательства об архивном деле, срок исполнения которых завершался в период с апреля по декабрь 2020 года, по поступившим ходатайствам от подконтрольных субъектов были продлены до конца 2020 года. Учитывая названную особенность, а также эпидемиологическую ситуацию и действующие ограничения на проведение массовых мероприятий и круга участников, сравнивать значения показателей: количество проведенных в 2021 году профилактических мероприятий; количество подконтрольных субъектов, в отношении которых проведены профилактические мероприятия; количество плановых и внеплановых проверок, по итогам которых в 2021 году выявлены нарушения, относительно 2020 года некорректно.</w:t>
      </w:r>
    </w:p>
    <w:p>
      <w:pPr>
        <w:pStyle w:val="20"/>
        <w:shd w:val="clear" w:color="auto" w:fill="auto"/>
        <w:tabs>
          <w:tab w:val="left" w:pos="1150"/>
        </w:tabs>
        <w:spacing w:before="0"/>
        <w:ind w:firstLine="709"/>
        <w:rPr>
          <w:color w:val="auto"/>
          <w:lang w:bidi="ar-SA"/>
        </w:rPr>
      </w:pPr>
      <w:r>
        <w:rPr>
          <w:color w:val="auto"/>
          <w:lang w:bidi="ar-SA"/>
        </w:rPr>
        <w:t xml:space="preserve">Действия и решения должностных лиц управления, осуществляющих контрольные полномочия в сфере архивного дела, в административном порядке не обжаловались. Жалобы и заявления от проверенных управлением подконтрольных субъектов о признании недействительными результатов проверок не поступали. Акты проверок и предписания </w:t>
      </w:r>
      <w:r>
        <w:t>об устранении выявленных нарушений обязательных требований законодательства об архивном деле</w:t>
      </w:r>
      <w:r>
        <w:rPr>
          <w:color w:val="auto"/>
          <w:lang w:bidi="ar-SA"/>
        </w:rPr>
        <w:t>, протоколы об административном правонарушении, выданные должностными лицами управления, уполномоченными на проведение контрольных мероприятий, не обжаловались. Жалоб на действия (бездействия) должностных лиц управления от подконтрольных субъектов не поступало.</w:t>
      </w:r>
    </w:p>
    <w:p>
      <w:pPr>
        <w:pStyle w:val="20"/>
        <w:shd w:val="clear" w:color="auto" w:fill="auto"/>
        <w:tabs>
          <w:tab w:val="left" w:pos="1150"/>
        </w:tabs>
        <w:spacing w:before="0"/>
        <w:ind w:firstLine="709"/>
      </w:pPr>
      <w:r>
        <w:t xml:space="preserve">Проводимые управлением профилактические мероприятия ведут к повышению уровня </w:t>
      </w:r>
      <w:r>
        <w:rPr>
          <w:rFonts w:eastAsia="Calibri"/>
          <w:lang w:eastAsia="en-US"/>
        </w:rPr>
        <w:t>правовой грамотности подконтрольных субъектов по вопросам соблюдения обязательных требований в сфере архивного дела,</w:t>
      </w:r>
      <w:r>
        <w:t xml:space="preserve"> что, в свою очередь, приводит к снижению количества выявляемых нарушений, а также к повышению осведомленности о том, какие именно интересы граждан </w:t>
      </w:r>
      <w:r>
        <w:lastRenderedPageBreak/>
        <w:t>и юридических лиц защищаются при осуществлении регионального государственного контроля за соблюдением законодательства об архивном деле, что повлечет сохранение исторически и социально значимых документов, сокращение нарушений прав граждан и организаций на получение информации.</w:t>
      </w:r>
    </w:p>
    <w:p>
      <w:pPr>
        <w:pStyle w:val="20"/>
        <w:shd w:val="clear" w:color="auto" w:fill="auto"/>
        <w:tabs>
          <w:tab w:val="left" w:pos="1150"/>
        </w:tabs>
        <w:spacing w:before="0"/>
        <w:ind w:firstLine="709"/>
      </w:pPr>
      <w:r>
        <w:t>Наибольшую пользу приносят, как показывает практика, проводимые сотрудниками управления семинары и иные публичные мероприятия, а также непосредственное консультирование представителей подконтрольных субъектов.</w:t>
      </w:r>
    </w:p>
    <w:p>
      <w:pPr>
        <w:pStyle w:val="20"/>
        <w:shd w:val="clear" w:color="auto" w:fill="auto"/>
        <w:tabs>
          <w:tab w:val="left" w:pos="1150"/>
        </w:tabs>
        <w:spacing w:before="0"/>
        <w:ind w:firstLine="709"/>
      </w:pPr>
      <w:r>
        <w:t>На основании изложенного и достигнутых значений количественных и качественных показателей, проведенная управлением в 2021 году работа по профилактике нарушений обязательных требований оценивается как эффективная.</w:t>
      </w:r>
      <w:bookmarkStart w:id="2" w:name="_GoBack"/>
      <w:bookmarkEnd w:id="2"/>
    </w:p>
    <w:sectPr>
      <w:headerReference w:type="default" r:id="rId32"/>
      <w:pgSz w:w="11900" w:h="16840"/>
      <w:pgMar w:top="851" w:right="850" w:bottom="1134" w:left="1701" w:header="142"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footnote>
  <w:footnote w:type="continuationSeparator"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55514"/>
      <w:docPartObj>
        <w:docPartGallery w:val="Page Numbers (Top of Page)"/>
        <w:docPartUnique/>
      </w:docPartObj>
    </w:sdtPr>
    <w:sdtContent>
      <w:p>
        <w:pPr>
          <w:pStyle w:val="ab"/>
          <w:jc w:val="center"/>
        </w:pPr>
        <w:r>
          <w:fldChar w:fldCharType="begin"/>
        </w:r>
        <w:r>
          <w:instrText>PAGE   \* MERGEFORMAT</w:instrText>
        </w:r>
        <w:r>
          <w:fldChar w:fldCharType="separate"/>
        </w:r>
        <w:r>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004"/>
    <w:multiLevelType w:val="hybridMultilevel"/>
    <w:tmpl w:val="E3BAFB78"/>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61C0D"/>
    <w:multiLevelType w:val="multilevel"/>
    <w:tmpl w:val="BD3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B62A5"/>
    <w:multiLevelType w:val="multilevel"/>
    <w:tmpl w:val="2CE48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AD37BB"/>
    <w:multiLevelType w:val="multilevel"/>
    <w:tmpl w:val="752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71F7B"/>
    <w:multiLevelType w:val="multilevel"/>
    <w:tmpl w:val="F6D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5090F"/>
    <w:multiLevelType w:val="multilevel"/>
    <w:tmpl w:val="734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C1291-00E5-427A-B660-FC9765EB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4">
    <w:name w:val="heading 4"/>
    <w:basedOn w:val="a"/>
    <w:link w:val="40"/>
    <w:uiPriority w:val="9"/>
    <w:qFormat/>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Garamond" w:eastAsia="Garamond" w:hAnsi="Garamond" w:cs="Garamond"/>
      <w:b w:val="0"/>
      <w:bCs w:val="0"/>
      <w:i w:val="0"/>
      <w:iCs w:val="0"/>
      <w:smallCaps w:val="0"/>
      <w:strike w:val="0"/>
      <w:sz w:val="28"/>
      <w:szCs w:val="28"/>
      <w:u w:val="none"/>
    </w:rPr>
  </w:style>
  <w:style w:type="character" w:customStyle="1" w:styleId="a6">
    <w:name w:val="Колонтитул"/>
    <w:basedOn w:val="a4"/>
    <w:rPr>
      <w:rFonts w:ascii="Garamond" w:eastAsia="Garamond" w:hAnsi="Garamond" w:cs="Garamond"/>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Garamond" w:eastAsia="Garamond" w:hAnsi="Garamond" w:cs="Garamond"/>
      <w:sz w:val="28"/>
      <w:szCs w:val="28"/>
    </w:rPr>
  </w:style>
  <w:style w:type="paragraph" w:styleId="21">
    <w:name w:val="Body Text 2"/>
    <w:basedOn w:val="a"/>
    <w:link w:val="22"/>
    <w:pPr>
      <w:widowControl/>
      <w:jc w:val="center"/>
    </w:pPr>
    <w:rPr>
      <w:rFonts w:ascii="Times New Roman" w:eastAsia="Times New Roman" w:hAnsi="Times New Roman" w:cs="Times New Roman"/>
      <w:b/>
      <w:bCs/>
      <w:sz w:val="28"/>
      <w:szCs w:val="35"/>
      <w:lang w:bidi="ar-SA"/>
    </w:rPr>
  </w:style>
  <w:style w:type="character" w:customStyle="1" w:styleId="22">
    <w:name w:val="Основной текст 2 Знак"/>
    <w:basedOn w:val="a0"/>
    <w:link w:val="21"/>
    <w:rPr>
      <w:rFonts w:ascii="Times New Roman" w:eastAsia="Times New Roman" w:hAnsi="Times New Roman" w:cs="Times New Roman"/>
      <w:b/>
      <w:bCs/>
      <w:color w:val="000000"/>
      <w:sz w:val="28"/>
      <w:szCs w:val="35"/>
      <w:lang w:bidi="ar-SA"/>
    </w:rPr>
  </w:style>
  <w:style w:type="table" w:styleId="a7">
    <w:name w:val="Table Grid"/>
    <w:basedOn w:val="a1"/>
    <w:uiPriority w:val="3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Pr>
      <w:rFonts w:ascii="Times New Roman" w:eastAsia="Times New Roman" w:hAnsi="Times New Roman" w:cs="Times New Roman"/>
      <w:b/>
      <w:bCs/>
      <w:lang w:bidi="ar-SA"/>
    </w:rPr>
  </w:style>
  <w:style w:type="paragraph" w:customStyle="1" w:styleId="rtejustify">
    <w:name w:val="rtejustify"/>
    <w:basedOn w:val="a"/>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
    <w:next w:val="a"/>
    <w:link w:val="z-0"/>
    <w:hidden/>
    <w:uiPriority w:val="99"/>
    <w:semiHidden/>
    <w:unhideWhenUsed/>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Pr>
      <w:rFonts w:ascii="Arial" w:eastAsia="Times New Roman" w:hAnsi="Arial" w:cs="Arial"/>
      <w:vanish/>
      <w:sz w:val="16"/>
      <w:szCs w:val="16"/>
      <w:lang w:bidi="ar-SA"/>
    </w:rPr>
  </w:style>
  <w:style w:type="character" w:customStyle="1" w:styleId="form-required">
    <w:name w:val="form-required"/>
    <w:basedOn w:val="a0"/>
  </w:style>
  <w:style w:type="paragraph" w:styleId="z-1">
    <w:name w:val="HTML Bottom of Form"/>
    <w:basedOn w:val="a"/>
    <w:next w:val="a"/>
    <w:link w:val="z-2"/>
    <w:hidden/>
    <w:uiPriority w:val="99"/>
    <w:semiHidden/>
    <w:unhideWhenUsed/>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Pr>
      <w:rFonts w:ascii="Arial" w:eastAsia="Times New Roman" w:hAnsi="Arial" w:cs="Arial"/>
      <w:vanish/>
      <w:sz w:val="16"/>
      <w:szCs w:val="16"/>
      <w:lang w:bidi="ar-SA"/>
    </w:rPr>
  </w:style>
  <w:style w:type="paragraph" w:styleId="a8">
    <w:name w:val="Normal (Web)"/>
    <w:basedOn w:val="a"/>
    <w:uiPriority w:val="99"/>
    <w:unhideWhenUsed/>
    <w:pPr>
      <w:widowControl/>
      <w:spacing w:before="240" w:after="240"/>
    </w:pPr>
    <w:rPr>
      <w:rFonts w:ascii="Times New Roman" w:eastAsia="Times New Roman" w:hAnsi="Times New Roman" w:cs="Times New Roman"/>
      <w:color w:val="auto"/>
      <w:lang w:bidi="ar-SA"/>
    </w:rPr>
  </w:style>
  <w:style w:type="paragraph" w:styleId="a9">
    <w:name w:val="List Paragraph"/>
    <w:basedOn w:val="a"/>
    <w:link w:val="aa"/>
    <w:uiPriority w:val="34"/>
    <w:qFormat/>
    <w:pPr>
      <w:widowControl/>
      <w:ind w:left="720"/>
      <w:contextualSpacing/>
    </w:pPr>
    <w:rPr>
      <w:rFonts w:ascii="Times New Roman" w:eastAsia="Times New Roman" w:hAnsi="Times New Roman" w:cs="Times New Roman"/>
      <w:color w:val="auto"/>
      <w:sz w:val="28"/>
      <w:szCs w:val="28"/>
      <w:lang w:bidi="ar-SA"/>
    </w:rPr>
  </w:style>
  <w:style w:type="paragraph" w:customStyle="1" w:styleId="ConsPlusNormal">
    <w:name w:val="ConsPlusNormal"/>
    <w:pPr>
      <w:autoSpaceDE w:val="0"/>
      <w:autoSpaceDN w:val="0"/>
    </w:pPr>
    <w:rPr>
      <w:rFonts w:ascii="Calibri" w:eastAsia="Times New Roman" w:hAnsi="Calibri" w:cs="Calibri"/>
      <w:sz w:val="22"/>
      <w:szCs w:val="20"/>
      <w:lang w:bidi="ar-SA"/>
    </w:rPr>
  </w:style>
  <w:style w:type="paragraph" w:styleId="ab">
    <w:name w:val="header"/>
    <w:basedOn w:val="a"/>
    <w:link w:val="ac"/>
    <w:unhideWhenUsed/>
    <w:pPr>
      <w:widowControl/>
      <w:tabs>
        <w:tab w:val="center" w:pos="4677"/>
        <w:tab w:val="right" w:pos="9355"/>
      </w:tabs>
    </w:pPr>
    <w:rPr>
      <w:rFonts w:ascii="Times New Roman" w:eastAsia="Times New Roman" w:hAnsi="Times New Roman" w:cs="Times New Roman"/>
      <w:color w:val="auto"/>
      <w:sz w:val="28"/>
      <w:szCs w:val="28"/>
      <w:lang w:bidi="ar-SA"/>
    </w:rPr>
  </w:style>
  <w:style w:type="character" w:customStyle="1" w:styleId="ac">
    <w:name w:val="Верхний колонтитул Знак"/>
    <w:basedOn w:val="a0"/>
    <w:link w:val="ab"/>
    <w:rPr>
      <w:rFonts w:ascii="Times New Roman" w:eastAsia="Times New Roman" w:hAnsi="Times New Roman" w:cs="Times New Roman"/>
      <w:sz w:val="28"/>
      <w:szCs w:val="28"/>
      <w:lang w:bidi="ar-SA"/>
    </w:rPr>
  </w:style>
  <w:style w:type="paragraph" w:customStyle="1" w:styleId="Default">
    <w:name w:val="Default"/>
    <w:pPr>
      <w:widowControl/>
      <w:autoSpaceDE w:val="0"/>
      <w:autoSpaceDN w:val="0"/>
      <w:adjustRightInd w:val="0"/>
    </w:pPr>
    <w:rPr>
      <w:rFonts w:ascii="Times New Roman" w:hAnsi="Times New Roman" w:cs="Times New Roman"/>
      <w:color w:val="000000"/>
      <w:lang w:bidi="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color w:val="000000"/>
    </w:rPr>
  </w:style>
  <w:style w:type="paragraph" w:styleId="af">
    <w:name w:val="Balloon Text"/>
    <w:basedOn w:val="a"/>
    <w:link w:val="af0"/>
    <w:uiPriority w:val="99"/>
    <w:semiHidden/>
    <w:unhideWhenUsed/>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color w:val="000000"/>
      <w:sz w:val="18"/>
      <w:szCs w:val="18"/>
    </w:rPr>
  </w:style>
  <w:style w:type="paragraph" w:customStyle="1" w:styleId="ConsPlusTitle">
    <w:name w:val="ConsPlusTitle"/>
    <w:pPr>
      <w:autoSpaceDE w:val="0"/>
      <w:autoSpaceDN w:val="0"/>
    </w:pPr>
    <w:rPr>
      <w:rFonts w:ascii="Calibri" w:eastAsia="Times New Roman" w:hAnsi="Calibri" w:cs="Calibri"/>
      <w:b/>
      <w:sz w:val="22"/>
      <w:szCs w:val="20"/>
      <w:lang w:bidi="ar-SA"/>
    </w:rPr>
  </w:style>
  <w:style w:type="character" w:customStyle="1" w:styleId="aa">
    <w:name w:val="Абзац списка Знак"/>
    <w:link w:val="a9"/>
    <w:uiPriority w:val="34"/>
    <w:locked/>
    <w:rPr>
      <w:rFonts w:ascii="Times New Roman" w:eastAsia="Times New Roman" w:hAnsi="Times New Roman" w:cs="Times New Roman"/>
      <w:sz w:val="28"/>
      <w:szCs w:val="28"/>
      <w:lang w:bidi="ar-SA"/>
    </w:rPr>
  </w:style>
  <w:style w:type="paragraph" w:styleId="af1">
    <w:name w:val="No Spacing"/>
    <w:uiPriority w:val="1"/>
    <w:qFormat/>
    <w:pPr>
      <w:widowControl/>
    </w:pPr>
    <w:rPr>
      <w:rFonts w:ascii="Calibri" w:eastAsia="Calibri" w:hAnsi="Calibri" w:cs="Times New Roman"/>
      <w:sz w:val="22"/>
      <w:szCs w:val="22"/>
      <w:lang w:eastAsia="en-US" w:bidi="ar-SA"/>
    </w:rPr>
  </w:style>
  <w:style w:type="paragraph" w:styleId="af2">
    <w:name w:val="Body Text Indent"/>
    <w:basedOn w:val="a"/>
    <w:link w:val="af3"/>
    <w:uiPriority w:val="99"/>
    <w:semiHidden/>
    <w:unhideWhenUsed/>
    <w:pPr>
      <w:spacing w:after="120"/>
      <w:ind w:left="283"/>
    </w:pPr>
  </w:style>
  <w:style w:type="character" w:customStyle="1" w:styleId="af3">
    <w:name w:val="Основной текст с отступом Знак"/>
    <w:basedOn w:val="a0"/>
    <w:link w:val="af2"/>
    <w:uiPriority w:val="99"/>
    <w:semiHidden/>
    <w:rPr>
      <w:color w:val="000000"/>
    </w:rPr>
  </w:style>
  <w:style w:type="paragraph" w:customStyle="1" w:styleId="formattext">
    <w:name w:val="formattext"/>
    <w:basedOn w:val="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698">
      <w:bodyDiv w:val="1"/>
      <w:marLeft w:val="0"/>
      <w:marRight w:val="0"/>
      <w:marTop w:val="0"/>
      <w:marBottom w:val="0"/>
      <w:divBdr>
        <w:top w:val="none" w:sz="0" w:space="0" w:color="auto"/>
        <w:left w:val="none" w:sz="0" w:space="0" w:color="auto"/>
        <w:bottom w:val="none" w:sz="0" w:space="0" w:color="auto"/>
        <w:right w:val="none" w:sz="0" w:space="0" w:color="auto"/>
      </w:divBdr>
    </w:div>
    <w:div w:id="98334908">
      <w:bodyDiv w:val="1"/>
      <w:marLeft w:val="0"/>
      <w:marRight w:val="0"/>
      <w:marTop w:val="0"/>
      <w:marBottom w:val="0"/>
      <w:divBdr>
        <w:top w:val="none" w:sz="0" w:space="0" w:color="auto"/>
        <w:left w:val="none" w:sz="0" w:space="0" w:color="auto"/>
        <w:bottom w:val="none" w:sz="0" w:space="0" w:color="auto"/>
        <w:right w:val="none" w:sz="0" w:space="0" w:color="auto"/>
      </w:divBdr>
    </w:div>
    <w:div w:id="786773224">
      <w:bodyDiv w:val="1"/>
      <w:marLeft w:val="0"/>
      <w:marRight w:val="0"/>
      <w:marTop w:val="0"/>
      <w:marBottom w:val="0"/>
      <w:divBdr>
        <w:top w:val="none" w:sz="0" w:space="0" w:color="auto"/>
        <w:left w:val="none" w:sz="0" w:space="0" w:color="auto"/>
        <w:bottom w:val="none" w:sz="0" w:space="0" w:color="auto"/>
        <w:right w:val="none" w:sz="0" w:space="0" w:color="auto"/>
      </w:divBdr>
    </w:div>
    <w:div w:id="1437285187">
      <w:bodyDiv w:val="1"/>
      <w:marLeft w:val="0"/>
      <w:marRight w:val="0"/>
      <w:marTop w:val="0"/>
      <w:marBottom w:val="0"/>
      <w:divBdr>
        <w:top w:val="none" w:sz="0" w:space="0" w:color="auto"/>
        <w:left w:val="none" w:sz="0" w:space="0" w:color="auto"/>
        <w:bottom w:val="none" w:sz="0" w:space="0" w:color="auto"/>
        <w:right w:val="none" w:sz="0" w:space="0" w:color="auto"/>
      </w:divBdr>
    </w:div>
    <w:div w:id="1531454915">
      <w:bodyDiv w:val="1"/>
      <w:marLeft w:val="0"/>
      <w:marRight w:val="0"/>
      <w:marTop w:val="0"/>
      <w:marBottom w:val="0"/>
      <w:divBdr>
        <w:top w:val="none" w:sz="0" w:space="0" w:color="auto"/>
        <w:left w:val="none" w:sz="0" w:space="0" w:color="auto"/>
        <w:bottom w:val="none" w:sz="0" w:space="0" w:color="auto"/>
        <w:right w:val="none" w:sz="0" w:space="0" w:color="auto"/>
      </w:divBdr>
    </w:div>
    <w:div w:id="1740593405">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850874335">
      <w:bodyDiv w:val="1"/>
      <w:marLeft w:val="0"/>
      <w:marRight w:val="0"/>
      <w:marTop w:val="0"/>
      <w:marBottom w:val="0"/>
      <w:divBdr>
        <w:top w:val="none" w:sz="0" w:space="0" w:color="auto"/>
        <w:left w:val="none" w:sz="0" w:space="0" w:color="auto"/>
        <w:bottom w:val="none" w:sz="0" w:space="0" w:color="auto"/>
        <w:right w:val="none" w:sz="0" w:space="0" w:color="auto"/>
      </w:divBdr>
    </w:div>
    <w:div w:id="1899783224">
      <w:bodyDiv w:val="1"/>
      <w:marLeft w:val="0"/>
      <w:marRight w:val="0"/>
      <w:marTop w:val="0"/>
      <w:marBottom w:val="0"/>
      <w:divBdr>
        <w:top w:val="none" w:sz="0" w:space="0" w:color="auto"/>
        <w:left w:val="none" w:sz="0" w:space="0" w:color="auto"/>
        <w:bottom w:val="none" w:sz="0" w:space="0" w:color="auto"/>
        <w:right w:val="none" w:sz="0" w:space="0" w:color="auto"/>
      </w:divBdr>
      <w:divsChild>
        <w:div w:id="1037318745">
          <w:marLeft w:val="0"/>
          <w:marRight w:val="0"/>
          <w:marTop w:val="0"/>
          <w:marBottom w:val="0"/>
          <w:divBdr>
            <w:top w:val="none" w:sz="0" w:space="0" w:color="auto"/>
            <w:left w:val="none" w:sz="0" w:space="0" w:color="auto"/>
            <w:bottom w:val="none" w:sz="0" w:space="0" w:color="auto"/>
            <w:right w:val="none" w:sz="0" w:space="0" w:color="auto"/>
          </w:divBdr>
          <w:divsChild>
            <w:div w:id="1352996241">
              <w:marLeft w:val="0"/>
              <w:marRight w:val="0"/>
              <w:marTop w:val="450"/>
              <w:marBottom w:val="450"/>
              <w:divBdr>
                <w:top w:val="none" w:sz="0" w:space="0" w:color="auto"/>
                <w:left w:val="none" w:sz="0" w:space="0" w:color="auto"/>
                <w:bottom w:val="none" w:sz="0" w:space="0" w:color="auto"/>
                <w:right w:val="none" w:sz="0" w:space="0" w:color="auto"/>
              </w:divBdr>
            </w:div>
            <w:div w:id="2070838193">
              <w:marLeft w:val="0"/>
              <w:marRight w:val="0"/>
              <w:marTop w:val="0"/>
              <w:marBottom w:val="300"/>
              <w:divBdr>
                <w:top w:val="none" w:sz="0" w:space="0" w:color="auto"/>
                <w:left w:val="none" w:sz="0" w:space="0" w:color="auto"/>
                <w:bottom w:val="none" w:sz="0" w:space="0" w:color="auto"/>
                <w:right w:val="none" w:sz="0" w:space="0" w:color="auto"/>
              </w:divBdr>
            </w:div>
            <w:div w:id="523977417">
              <w:marLeft w:val="0"/>
              <w:marRight w:val="0"/>
              <w:marTop w:val="0"/>
              <w:marBottom w:val="300"/>
              <w:divBdr>
                <w:top w:val="none" w:sz="0" w:space="0" w:color="auto"/>
                <w:left w:val="none" w:sz="0" w:space="0" w:color="auto"/>
                <w:bottom w:val="none" w:sz="0" w:space="0" w:color="auto"/>
                <w:right w:val="none" w:sz="0" w:space="0" w:color="auto"/>
              </w:divBdr>
              <w:divsChild>
                <w:div w:id="647367284">
                  <w:marLeft w:val="0"/>
                  <w:marRight w:val="0"/>
                  <w:marTop w:val="0"/>
                  <w:marBottom w:val="0"/>
                  <w:divBdr>
                    <w:top w:val="none" w:sz="0" w:space="0" w:color="auto"/>
                    <w:left w:val="none" w:sz="0" w:space="0" w:color="auto"/>
                    <w:bottom w:val="none" w:sz="0" w:space="0" w:color="auto"/>
                    <w:right w:val="none" w:sz="0" w:space="0" w:color="auto"/>
                  </w:divBdr>
                  <w:divsChild>
                    <w:div w:id="2033912874">
                      <w:marLeft w:val="0"/>
                      <w:marRight w:val="0"/>
                      <w:marTop w:val="0"/>
                      <w:marBottom w:val="0"/>
                      <w:divBdr>
                        <w:top w:val="none" w:sz="0" w:space="0" w:color="auto"/>
                        <w:left w:val="none" w:sz="0" w:space="0" w:color="auto"/>
                        <w:bottom w:val="none" w:sz="0" w:space="0" w:color="auto"/>
                        <w:right w:val="none" w:sz="0" w:space="0" w:color="auto"/>
                      </w:divBdr>
                      <w:divsChild>
                        <w:div w:id="16532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73232">
          <w:marLeft w:val="0"/>
          <w:marRight w:val="0"/>
          <w:marTop w:val="0"/>
          <w:marBottom w:val="0"/>
          <w:divBdr>
            <w:top w:val="none" w:sz="0" w:space="0" w:color="auto"/>
            <w:left w:val="none" w:sz="0" w:space="0" w:color="auto"/>
            <w:bottom w:val="none" w:sz="0" w:space="0" w:color="auto"/>
            <w:right w:val="none" w:sz="0" w:space="0" w:color="auto"/>
          </w:divBdr>
          <w:divsChild>
            <w:div w:id="476188309">
              <w:marLeft w:val="0"/>
              <w:marRight w:val="0"/>
              <w:marTop w:val="0"/>
              <w:marBottom w:val="0"/>
              <w:divBdr>
                <w:top w:val="single" w:sz="6" w:space="15" w:color="EDF1F5"/>
                <w:left w:val="single" w:sz="6" w:space="17" w:color="EDF1F5"/>
                <w:bottom w:val="single" w:sz="6" w:space="17" w:color="EDF1F5"/>
                <w:right w:val="single" w:sz="6" w:space="17" w:color="EDF1F5"/>
              </w:divBdr>
              <w:divsChild>
                <w:div w:id="2078043047">
                  <w:marLeft w:val="0"/>
                  <w:marRight w:val="0"/>
                  <w:marTop w:val="0"/>
                  <w:marBottom w:val="0"/>
                  <w:divBdr>
                    <w:top w:val="none" w:sz="0" w:space="0" w:color="auto"/>
                    <w:left w:val="none" w:sz="0" w:space="0" w:color="auto"/>
                    <w:bottom w:val="none" w:sz="0" w:space="0" w:color="auto"/>
                    <w:right w:val="none" w:sz="0" w:space="0" w:color="auto"/>
                  </w:divBdr>
                  <w:divsChild>
                    <w:div w:id="127162693">
                      <w:marLeft w:val="0"/>
                      <w:marRight w:val="0"/>
                      <w:marTop w:val="270"/>
                      <w:marBottom w:val="270"/>
                      <w:divBdr>
                        <w:top w:val="none" w:sz="0" w:space="0" w:color="auto"/>
                        <w:left w:val="none" w:sz="0" w:space="0" w:color="auto"/>
                        <w:bottom w:val="none" w:sz="0" w:space="0" w:color="auto"/>
                        <w:right w:val="none" w:sz="0" w:space="0" w:color="auto"/>
                      </w:divBdr>
                    </w:div>
                    <w:div w:id="868950622">
                      <w:marLeft w:val="0"/>
                      <w:marRight w:val="0"/>
                      <w:marTop w:val="0"/>
                      <w:marBottom w:val="0"/>
                      <w:divBdr>
                        <w:top w:val="none" w:sz="0" w:space="0" w:color="auto"/>
                        <w:left w:val="none" w:sz="0" w:space="0" w:color="auto"/>
                        <w:bottom w:val="none" w:sz="0" w:space="0" w:color="auto"/>
                        <w:right w:val="none" w:sz="0" w:space="0" w:color="auto"/>
                      </w:divBdr>
                      <w:divsChild>
                        <w:div w:id="1027409868">
                          <w:marLeft w:val="0"/>
                          <w:marRight w:val="0"/>
                          <w:marTop w:val="270"/>
                          <w:marBottom w:val="270"/>
                          <w:divBdr>
                            <w:top w:val="none" w:sz="0" w:space="0" w:color="auto"/>
                            <w:left w:val="none" w:sz="0" w:space="0" w:color="auto"/>
                            <w:bottom w:val="none" w:sz="0" w:space="0" w:color="auto"/>
                            <w:right w:val="none" w:sz="0" w:space="0" w:color="auto"/>
                          </w:divBdr>
                          <w:divsChild>
                            <w:div w:id="16104341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23095297">
              <w:marLeft w:val="0"/>
              <w:marRight w:val="0"/>
              <w:marTop w:val="0"/>
              <w:marBottom w:val="0"/>
              <w:divBdr>
                <w:top w:val="none" w:sz="0" w:space="0" w:color="auto"/>
                <w:left w:val="none" w:sz="0" w:space="0" w:color="auto"/>
                <w:bottom w:val="none" w:sz="0" w:space="0" w:color="auto"/>
                <w:right w:val="none" w:sz="0" w:space="0" w:color="auto"/>
              </w:divBdr>
              <w:divsChild>
                <w:div w:id="193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s.nso.ru/sites/archives.nso.ru/wodby_files/files/page_1439/po_ls.doc" TargetMode="External"/><Relationship Id="rId18" Type="http://schemas.openxmlformats.org/officeDocument/2006/relationships/hyperlink" Target="http://archives.nso.ru/sites/archives.nso.ru/wodby_files/files/page_1439/metodrek_po_ekspertize_cennosti_po_lichnomu_sostavu.pdf" TargetMode="External"/><Relationship Id="rId26" Type="http://schemas.openxmlformats.org/officeDocument/2006/relationships/hyperlink" Target="http://archives.nso.ru/page/2433" TargetMode="External"/><Relationship Id="rId3" Type="http://schemas.openxmlformats.org/officeDocument/2006/relationships/styles" Target="styles.xml"/><Relationship Id="rId21" Type="http://schemas.openxmlformats.org/officeDocument/2006/relationships/hyperlink" Target="http://archives.nso.ru/sites/archives.nso.ru/wodby_files/files/page_2444/mr_videodokumenty_2019.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chives.nso.ru/sites/archives.nso.ru/wodby_files/files/page_1439/post_hran.doc" TargetMode="External"/><Relationship Id="rId17" Type="http://schemas.openxmlformats.org/officeDocument/2006/relationships/hyperlink" Target="http://archives.nso.ru/sites/archives.nso.ru/wodby_files/files/page_1439/sokr.doc" TargetMode="External"/><Relationship Id="rId25" Type="http://schemas.openxmlformats.org/officeDocument/2006/relationships/hyperlink" Target="http://archives.nso.ru/page/24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s.nso.ru/sites/archives.nso.ru/wodby_files/files/page_1439/1.doc" TargetMode="External"/><Relationship Id="rId20" Type="http://schemas.openxmlformats.org/officeDocument/2006/relationships/hyperlink" Target="http://archives.nso.ru/sites/archives.nso.ru/wodby_files/files/page_2444/metodrekomendacii_po_rabote_s_dok_po_lichnomu_sostvu.pdf" TargetMode="External"/><Relationship Id="rId29" Type="http://schemas.openxmlformats.org/officeDocument/2006/relationships/hyperlink" Target="http://archives.nso.ru/page/2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nso.ru/sites/archives.nso.ru/wodby_files/files/page_1439/metodrekomendacii_poslednie.pdf" TargetMode="External"/><Relationship Id="rId24" Type="http://schemas.openxmlformats.org/officeDocument/2006/relationships/hyperlink" Target="https://proverki.gov.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hives.nso.ru/sites/archives.nso.ru/wodby_files/files/page_1439/list_pereimenovaniy.doc" TargetMode="External"/><Relationship Id="rId23" Type="http://schemas.openxmlformats.org/officeDocument/2006/relationships/hyperlink" Target="http://archives.nso.ru/sites/archives.nso.ru/wodby_files/files/page_2439/itogi_rasssmotreniya_anket_071221.pdf" TargetMode="External"/><Relationship Id="rId28" Type="http://schemas.openxmlformats.org/officeDocument/2006/relationships/hyperlink" Target="http://archives.nso.ru/page/2433" TargetMode="External"/><Relationship Id="rId10" Type="http://schemas.openxmlformats.org/officeDocument/2006/relationships/hyperlink" Target="http://archives.nso.ru/sites/archives.nso.ru/wodby_files/files/page_2444/metodicheskie_rekomendacii_po_novomu_gostu.pdf" TargetMode="External"/><Relationship Id="rId19" Type="http://schemas.openxmlformats.org/officeDocument/2006/relationships/hyperlink" Target="http://archives.nso.ru/sites/archives.nso.ru/wodby_files/files/page_1439/pamyatka_po_likvidirovannym_organizaciyam.docx" TargetMode="External"/><Relationship Id="rId31" Type="http://schemas.openxmlformats.org/officeDocument/2006/relationships/hyperlink" Target="http://archives.nso.ru/page/2453" TargetMode="External"/><Relationship Id="rId4" Type="http://schemas.openxmlformats.org/officeDocument/2006/relationships/settings" Target="settings.xml"/><Relationship Id="rId9" Type="http://schemas.openxmlformats.org/officeDocument/2006/relationships/hyperlink" Target="http://archives.nso.ru/page/2439" TargetMode="External"/><Relationship Id="rId14" Type="http://schemas.openxmlformats.org/officeDocument/2006/relationships/hyperlink" Target="http://archives.nso.ru/sites/archives.nso.ru/wodby_files/files/page_1439/tit_list.doc" TargetMode="External"/><Relationship Id="rId22" Type="http://schemas.openxmlformats.org/officeDocument/2006/relationships/hyperlink" Target="http://archives.nso.ru/sites/archives.nso.ru/wodby_files/files/page_2439/obobshchennye_otvety_na_voprosy_po_po.pdf" TargetMode="External"/><Relationship Id="rId27" Type="http://schemas.openxmlformats.org/officeDocument/2006/relationships/hyperlink" Target="http://archives.nso.ru/page/2433" TargetMode="External"/><Relationship Id="rId30" Type="http://schemas.openxmlformats.org/officeDocument/2006/relationships/hyperlink" Target="http://archives.nso.ru/sites/archives.nso.ru/wodby_files/files/page_2454/informaciya_4_kvartal_pp.pdf" TargetMode="External"/><Relationship Id="rId8" Type="http://schemas.openxmlformats.org/officeDocument/2006/relationships/hyperlink" Target="consultantplus://offline/ref=C2FDC9BB088A6F50DC5043C3752B6912642EB9FD20A12FDBCCF93D9DDE29B1A3A25910495BE16B68D7654919066FCF661F7629DAE9D1C3BBH7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F1CB-5CEF-4451-8D59-360DF6AF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16</Pages>
  <Words>6680</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Мелешков Ярослав Павлович</dc:creator>
  <cp:lastModifiedBy>Ивановская Елена Владимировна</cp:lastModifiedBy>
  <cp:revision>87</cp:revision>
  <cp:lastPrinted>2021-02-17T11:53:00Z</cp:lastPrinted>
  <dcterms:created xsi:type="dcterms:W3CDTF">2022-01-13T02:13:00Z</dcterms:created>
  <dcterms:modified xsi:type="dcterms:W3CDTF">2022-01-14T09:18:00Z</dcterms:modified>
</cp:coreProperties>
</file>